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9"/>
        <w:rPr>
          <w:rFonts w:ascii="方正小标宋简体" w:eastAsia="方正小标宋简体" w:hAnsi="宋体"/>
          <w:sz w:val="72"/>
          <w:szCs w:val="72"/>
        </w:rPr>
      </w:pPr>
      <w:bookmarkStart w:id="0" w:name="_Toc15377425"/>
      <w:bookmarkStart w:id="1" w:name="_Toc15377193"/>
      <w:bookmarkStart w:id="2" w:name="_Toc15396475"/>
      <w:bookmarkStart w:id="3" w:name="_Toc15378441"/>
      <w:bookmarkStart w:id="4" w:name="_Toc15396597"/>
      <w:bookmarkStart w:id="5" w:name="_Toc15306267"/>
    </w:p>
    <w:p>
      <w:pPr>
        <w:spacing w:line="600" w:lineRule="exact"/>
        <w:jc w:val="center"/>
        <w:outlineLvl w:val="9"/>
        <w:rPr>
          <w:rFonts w:ascii="方正小标宋简体" w:eastAsia="方正小标宋简体" w:hAnsi="宋体"/>
          <w:sz w:val="72"/>
          <w:szCs w:val="72"/>
        </w:rPr>
      </w:pPr>
    </w:p>
    <w:p>
      <w:pPr>
        <w:spacing w:line="600" w:lineRule="exact"/>
        <w:jc w:val="center"/>
        <w:outlineLvl w:val="9"/>
        <w:rPr>
          <w:rFonts w:ascii="方正小标宋简体" w:eastAsia="方正小标宋简体" w:hAnsi="宋体"/>
          <w:sz w:val="72"/>
          <w:szCs w:val="72"/>
        </w:rPr>
      </w:pPr>
    </w:p>
    <w:p>
      <w:pPr>
        <w:adjustRightInd w:val="0"/>
        <w:snapToGrid w:val="0"/>
        <w:spacing w:line="360" w:lineRule="auto"/>
        <w:jc w:val="center"/>
        <w:outlineLvl w:val="0"/>
        <w:rPr>
          <w:rFonts w:ascii="方正小标宋简体" w:eastAsia="方正小标宋简体" w:cs="方正小标宋简体" w:hAnsi="方正小标宋简体"/>
          <w:sz w:val="72"/>
          <w:szCs w:val="72"/>
        </w:rPr>
      </w:pPr>
      <w:bookmarkStart w:id="6" w:name="_Toc10206"/>
      <w:bookmarkStart w:id="7" w:name="_Toc28809"/>
      <w:r>
        <w:rPr>
          <w:rFonts w:ascii="方正小标宋简体" w:eastAsia="方正小标宋简体" w:cs="方正小标宋简体" w:hAnsi="方正小标宋简体" w:hint="eastAsia"/>
          <w:sz w:val="72"/>
          <w:szCs w:val="72"/>
        </w:rPr>
        <w:t>2022年度</w:t>
      </w:r>
      <w:bookmarkEnd w:id="0"/>
      <w:bookmarkEnd w:id="1"/>
      <w:bookmarkEnd w:id="2"/>
      <w:bookmarkEnd w:id="3"/>
      <w:bookmarkEnd w:id="4"/>
      <w:bookmarkEnd w:id="6"/>
      <w:bookmarkEnd w:id="7"/>
    </w:p>
    <w:p>
      <w:pPr>
        <w:adjustRightInd w:val="0"/>
        <w:snapToGrid w:val="0"/>
        <w:spacing w:line="360" w:lineRule="auto"/>
        <w:jc w:val="center"/>
        <w:outlineLvl w:val="0"/>
        <w:rPr>
          <w:rFonts w:ascii="方正小标宋简体" w:eastAsia="方正小标宋简体" w:cs="方正小标宋简体" w:hAnsi="方正小标宋简体" w:hint="eastAsia"/>
          <w:sz w:val="69"/>
          <w:szCs w:val="69"/>
          <w:lang w:val="en-US" w:eastAsia="zh-CN"/>
        </w:rPr>
      </w:pPr>
      <w:bookmarkStart w:id="8" w:name="_Toc32482"/>
      <w:bookmarkStart w:id="9" w:name="_Toc15305"/>
      <w:bookmarkStart w:id="10" w:name="_Toc15377194"/>
      <w:bookmarkStart w:id="11" w:name="_Toc15377426"/>
      <w:bookmarkStart w:id="12" w:name="_Toc15306268"/>
      <w:bookmarkStart w:id="13" w:name="_Toc15396598"/>
      <w:bookmarkStart w:id="14" w:name="_Toc15378442"/>
      <w:bookmarkStart w:id="15" w:name="_Toc15396476"/>
      <w:bookmarkEnd w:id="5"/>
      <w:r>
        <w:rPr>
          <w:rFonts w:ascii="方正小标宋简体" w:eastAsia="方正小标宋简体" w:cs="方正小标宋简体" w:hAnsi="方正小标宋简体" w:hint="eastAsia"/>
          <w:sz w:val="69"/>
          <w:szCs w:val="69"/>
          <w:lang w:val="en-US" w:eastAsia="zh-CN"/>
        </w:rPr>
        <w:t>攀枝花市文学艺术界联合会</w:t>
      </w:r>
      <w:bookmarkEnd w:id="8"/>
      <w:bookmarkEnd w:id="9"/>
    </w:p>
    <w:p>
      <w:pPr>
        <w:adjustRightInd w:val="0"/>
        <w:snapToGrid w:val="0"/>
        <w:spacing w:line="360" w:lineRule="auto"/>
        <w:jc w:val="center"/>
        <w:outlineLvl w:val="0"/>
        <w:rPr>
          <w:rFonts w:ascii="方正小标宋简体" w:eastAsia="方正小标宋简体" w:cs="方正小标宋简体" w:hAnsi="方正小标宋简体"/>
          <w:sz w:val="72"/>
          <w:szCs w:val="72"/>
        </w:rPr>
      </w:pPr>
      <w:bookmarkStart w:id="16" w:name="_Toc30614"/>
      <w:bookmarkStart w:id="17" w:name="_Toc2542"/>
      <w:r>
        <w:rPr>
          <w:rFonts w:ascii="方正小标宋简体" w:eastAsia="方正小标宋简体" w:cs="方正小标宋简体" w:hAnsi="方正小标宋简体" w:hint="eastAsia"/>
          <w:sz w:val="72"/>
          <w:szCs w:val="72"/>
        </w:rPr>
        <w:t>部门决算</w:t>
      </w:r>
      <w:bookmarkEnd w:id="10"/>
      <w:bookmarkEnd w:id="11"/>
      <w:bookmarkEnd w:id="12"/>
      <w:bookmarkEnd w:id="13"/>
      <w:bookmarkEnd w:id="14"/>
      <w:bookmarkEnd w:id="15"/>
      <w:bookmarkEnd w:id="16"/>
      <w:bookmarkEnd w:id="17"/>
    </w:p>
    <w:p>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t>目录</w:t>
      </w:r>
    </w:p>
    <w:p>
      <w:pPr>
        <w:widowControl/>
        <w:jc w:val="center"/>
        <w:rPr>
          <w:rFonts w:ascii="黑体" w:eastAsia="黑体" w:cs="Arial" w:hAnsi="黑体"/>
          <w:sz w:val="28"/>
          <w:szCs w:val="28"/>
        </w:rPr>
      </w:pPr>
    </w:p>
    <w:p>
      <w:pPr>
        <w:pStyle w:val="23"/>
        <w:tabs>
          <w:tab w:val="right" w:leader="dot" w:pos="8296"/>
        </w:tabs>
        <w:rPr>
          <w:rFonts w:hint="eastAsia"/>
          <w:color w:val="auto"/>
        </w:rPr>
      </w:pPr>
      <w:r>
        <w:rPr>
          <w:rFonts w:hint="eastAsia"/>
          <w:color w:val="auto"/>
        </w:rPr>
        <w:t>公开时间：2023年9月</w:t>
      </w:r>
      <w:r>
        <w:rPr>
          <w:color w:val="auto"/>
        </w:rPr>
        <w:t>1</w:t>
      </w:r>
      <w:r>
        <w:rPr>
          <w:rFonts w:hint="eastAsia"/>
          <w:color w:val="auto"/>
          <w:lang w:val="en-US" w:eastAsia="zh-CN"/>
        </w:rPr>
        <w:t>3</w:t>
      </w:r>
      <w:r>
        <w:rPr>
          <w:rFonts w:hint="eastAsia"/>
          <w:color w:val="auto"/>
        </w:rPr>
        <w:t>日</w:t>
      </w:r>
    </w:p>
    <w:sdt>
      <w:sdtPr>
        <w:rPr>
          <w:rFonts w:ascii="宋体" w:eastAsia="宋体" w:cs="Times New Roman" w:hAnsi="宋体"/>
          <w:kern w:val="2"/>
          <w:sz w:val="21"/>
          <w:szCs w:val="24"/>
          <w:lang w:val="en-US" w:eastAsia="zh-CN" w:bidi="ar-SA"/>
        </w:rPr>
        <w:id w:val="859521908"/>
        <w15:color w:val="DBDBDB"/>
        <w:docPartObj>
          <w:docPartGallery w:val="Table of Contents"/>
          <w:docPartUnique/>
        </w:docPartObj>
      </w:sdtPr>
      <w:sdtEndPr>
        <w:rPr>
          <w:rFonts w:ascii="Times New Roman" w:hAnsi="Times New Roman"/>
          <w:b/>
        </w:rPr>
      </w:sdtEndPr>
      <w:sdtContent>
        <w:p>
          <w:pPr>
            <w:spacing w:before="0" w:after="0" w:line="240" w:lineRule="auto"/>
            <w:ind w:left="0" w:right="0" w:firstLine="0"/>
            <w:jc w:val="center"/>
          </w:pPr>
        </w:p>
      </w:sdtContent>
    </w:sdt>
    <w:p>
      <w:pPr>
        <w:pStyle w:val="55"/>
        <w:keepNext w:val="0"/>
        <w:keepLines w:val="0"/>
        <w:pageBreakBefore w:val="0"/>
        <w:tabs>
          <w:tab w:val="right" w:leader="dot" w:pos="8306"/>
        </w:tabs>
        <w:kinsoku/>
        <w:wordWrap/>
        <w:overflowPunct/>
        <w:topLinePunct w:val="0"/>
        <w:autoSpaceDE/>
        <w:autoSpaceDN/>
        <w:bidi w:val="0"/>
        <w:spacing w:line="360" w:lineRule="auto"/>
        <w:textAlignment w:val="auto"/>
        <w:rPr>
          <w:rFonts w:ascii="宋体" w:eastAsia="宋体" w:cs="宋体" w:hAnsi="宋体" w:hint="eastAsia"/>
          <w:b w:val="0"/>
          <w:bCs w:val="0"/>
          <w:sz w:val="24"/>
          <w:szCs w:val="24"/>
        </w:rPr>
      </w:pPr>
      <w:r>
        <w:rPr>
          <w:rFonts w:ascii="仿宋" w:eastAsia="仿宋" w:cs="Times New Roman" w:hAnsi="仿宋" w:hint="eastAsia"/>
          <w:b w:val="0"/>
          <w:bCs w:val="0"/>
          <w:kern w:val="2"/>
          <w:sz w:val="24"/>
          <w:szCs w:val="28"/>
          <w:lang w:val="en-US" w:eastAsia="zh-CN" w:bidi="ar-SA"/>
        </w:rPr>
        <w:fldChar w:fldCharType="begin"/>
      </w:r>
      <w:r>
        <w:instrText>HYPERLINK  \l "_Toc21124"</w:instrText>
      </w:r>
      <w:r>
        <w:rPr>
          <w:rFonts w:ascii="仿宋" w:eastAsia="仿宋" w:cs="Times New Roman" w:hAnsi="仿宋" w:hint="eastAsia"/>
          <w:b w:val="0"/>
          <w:bCs w:val="0"/>
          <w:kern w:val="2"/>
          <w:sz w:val="24"/>
          <w:szCs w:val="28"/>
          <w:lang w:val="en-US" w:eastAsia="zh-CN" w:bidi="ar-SA"/>
        </w:rPr>
        <w:fldChar w:fldCharType="separate"/>
      </w:r>
      <w:bookmarkStart w:id="18" w:name="_Toc15377196"/>
      <w:bookmarkStart w:id="19" w:name="_Toc15396599"/>
      <w:r>
        <w:rPr>
          <w:rFonts w:ascii="仿宋" w:eastAsia="仿宋" w:cs="Times New Roman" w:hAnsi="仿宋" w:hint="eastAsia"/>
          <w:b w:val="0"/>
          <w:bCs w:val="0"/>
          <w:kern w:val="2"/>
          <w:sz w:val="24"/>
          <w:szCs w:val="28"/>
          <w:lang w:val="en-US" w:eastAsia="zh-CN" w:bidi="ar-SA"/>
        </w:rPr>
        <w:t>第一部分 部门概况</w:t>
      </w:r>
      <w:r>
        <w:rPr>
          <w:rFonts w:ascii="宋体" w:eastAsia="宋体" w:cs="宋体" w:hAnsi="宋体" w:hint="eastAsia"/>
          <w:b w:val="0"/>
          <w:bCs w:val="0"/>
          <w:sz w:val="24"/>
          <w:szCs w:val="24"/>
        </w:rPr>
        <w:tab/>
      </w:r>
      <w:r>
        <w:rPr>
          <w:rFonts w:ascii="宋体" w:cs="宋体" w:hAnsi="宋体" w:hint="eastAsia"/>
          <w:b w:val="0"/>
          <w:bCs w:val="0"/>
          <w:sz w:val="24"/>
          <w:szCs w:val="24"/>
          <w:lang w:val="en-US" w:eastAsia="zh-CN"/>
        </w:rPr>
        <w:t>4</w:t>
      </w:r>
      <w:r>
        <w:rPr>
          <w:rFonts w:ascii="仿宋" w:eastAsia="仿宋" w:cs="Times New Roman" w:hAnsi="仿宋" w:hint="eastAsia"/>
          <w:b w:val="0"/>
          <w:bCs w:val="0"/>
          <w:kern w:val="2"/>
          <w:sz w:val="24"/>
          <w:szCs w:val="28"/>
          <w:lang w:val="en-US" w:eastAsia="zh-CN" w:bidi="ar-SA"/>
        </w:rPr>
        <w:fldChar w:fldCharType="end"/>
      </w: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宋体" w:eastAsia="宋体" w:cs="宋体" w:hAnsi="宋体" w:hint="eastAsia"/>
          <w:b w:val="0"/>
          <w:bCs w:val="0"/>
          <w:sz w:val="24"/>
          <w:szCs w:val="24"/>
        </w:rPr>
      </w:pPr>
      <w:r>
        <w:rPr>
          <w:rFonts w:ascii="Times New Roman" w:eastAsia="宋体" w:cs="Times New Roman" w:hAnsi="Times New Roman" w:hint="eastAsia"/>
          <w:b w:val="0"/>
          <w:bCs w:val="0"/>
          <w:kern w:val="2"/>
          <w:sz w:val="24"/>
          <w:szCs w:val="24"/>
          <w:lang w:val="en-US" w:eastAsia="zh-CN" w:bidi="ar-SA"/>
        </w:rPr>
        <w:fldChar w:fldCharType="begin"/>
      </w:r>
      <w:r>
        <w:instrText>HYPERLINK  \l "_Toc9508"</w:instrText>
      </w:r>
      <w:r>
        <w:rPr>
          <w:rFonts w:ascii="Times New Roman" w:eastAsia="宋体" w:cs="Times New Roman" w:hAnsi="Times New Roman" w:hint="eastAsia"/>
          <w:b w:val="0"/>
          <w:bCs w:val="0"/>
          <w:kern w:val="2"/>
          <w:sz w:val="24"/>
          <w:szCs w:val="24"/>
          <w:lang w:val="en-US" w:eastAsia="zh-CN" w:bidi="ar-SA"/>
        </w:rPr>
        <w:fldChar w:fldCharType="separate"/>
      </w:r>
      <w:r>
        <w:rPr>
          <w:rFonts w:ascii="Times New Roman" w:eastAsia="宋体" w:cs="Times New Roman" w:hAnsi="Times New Roman" w:hint="eastAsia"/>
          <w:b w:val="0"/>
          <w:bCs w:val="0"/>
          <w:kern w:val="2"/>
          <w:sz w:val="24"/>
          <w:szCs w:val="24"/>
          <w:lang w:val="en-US" w:eastAsia="zh-CN" w:bidi="ar-SA"/>
        </w:rPr>
        <w:t>一、 部门职责</w:t>
      </w:r>
      <w:r>
        <w:rPr>
          <w:rFonts w:ascii="宋体" w:eastAsia="宋体" w:cs="宋体" w:hAnsi="宋体" w:hint="eastAsia"/>
          <w:b w:val="0"/>
          <w:bCs w:val="0"/>
          <w:sz w:val="24"/>
          <w:szCs w:val="24"/>
        </w:rPr>
        <w:tab/>
      </w:r>
      <w:r>
        <w:rPr>
          <w:rFonts w:ascii="宋体" w:cs="宋体" w:hAnsi="宋体" w:hint="eastAsia"/>
          <w:b w:val="0"/>
          <w:bCs w:val="0"/>
          <w:sz w:val="24"/>
          <w:szCs w:val="24"/>
          <w:lang w:val="en-US" w:eastAsia="zh-CN"/>
        </w:rPr>
        <w:t>4</w:t>
      </w:r>
      <w:r>
        <w:rPr>
          <w:rFonts w:ascii="Times New Roman" w:eastAsia="宋体" w:cs="Times New Roman" w:hAnsi="Times New Roman" w:hint="eastAsia"/>
          <w:b w:val="0"/>
          <w:bCs w:val="0"/>
          <w:kern w:val="2"/>
          <w:sz w:val="24"/>
          <w:szCs w:val="24"/>
          <w:lang w:val="en-US" w:eastAsia="zh-CN" w:bidi="ar-SA"/>
        </w:rPr>
        <w:fldChar w:fldCharType="end"/>
      </w: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宋体" w:eastAsia="宋体" w:cs="宋体" w:hAnsi="宋体" w:hint="eastAsia"/>
          <w:b w:val="0"/>
          <w:bCs w:val="0"/>
          <w:sz w:val="24"/>
          <w:szCs w:val="24"/>
        </w:rPr>
      </w:pPr>
      <w:r>
        <w:rPr>
          <w:rFonts w:ascii="Times New Roman" w:eastAsia="宋体" w:cs="Times New Roman" w:hAnsi="Times New Roman" w:hint="eastAsia"/>
          <w:b w:val="0"/>
          <w:bCs w:val="0"/>
          <w:kern w:val="2"/>
          <w:sz w:val="24"/>
          <w:szCs w:val="24"/>
          <w:lang w:val="en-US" w:eastAsia="zh-CN" w:bidi="ar-SA"/>
        </w:rPr>
        <w:fldChar w:fldCharType="begin"/>
      </w:r>
      <w:r>
        <w:instrText>HYPERLINK  \l "_Toc23807"</w:instrText>
      </w:r>
      <w:r>
        <w:rPr>
          <w:rFonts w:ascii="Times New Roman" w:eastAsia="宋体" w:cs="Times New Roman" w:hAnsi="Times New Roman" w:hint="eastAsia"/>
          <w:b w:val="0"/>
          <w:bCs w:val="0"/>
          <w:kern w:val="2"/>
          <w:sz w:val="24"/>
          <w:szCs w:val="24"/>
          <w:lang w:val="en-US" w:eastAsia="zh-CN" w:bidi="ar-SA"/>
        </w:rPr>
        <w:fldChar w:fldCharType="separate"/>
      </w:r>
      <w:r>
        <w:rPr>
          <w:rFonts w:ascii="Times New Roman" w:eastAsia="宋体" w:cs="Times New Roman" w:hAnsi="Times New Roman" w:hint="eastAsia"/>
          <w:b w:val="0"/>
          <w:bCs w:val="0"/>
          <w:kern w:val="2"/>
          <w:sz w:val="24"/>
          <w:szCs w:val="24"/>
          <w:lang w:val="en-US" w:eastAsia="zh-CN" w:bidi="ar-SA"/>
        </w:rPr>
        <w:t>二、机构设置</w:t>
      </w:r>
      <w:r>
        <w:rPr>
          <w:rFonts w:ascii="宋体" w:eastAsia="宋体" w:cs="宋体" w:hAnsi="宋体" w:hint="eastAsia"/>
          <w:b w:val="0"/>
          <w:bCs w:val="0"/>
          <w:sz w:val="24"/>
          <w:szCs w:val="24"/>
        </w:rPr>
        <w:tab/>
      </w:r>
      <w:r>
        <w:rPr>
          <w:rFonts w:ascii="宋体" w:cs="宋体" w:hAnsi="宋体" w:hint="eastAsia"/>
          <w:b w:val="0"/>
          <w:bCs w:val="0"/>
          <w:sz w:val="24"/>
          <w:szCs w:val="24"/>
          <w:lang w:val="en-US" w:eastAsia="zh-CN"/>
        </w:rPr>
        <w:t>5</w:t>
      </w:r>
      <w:r>
        <w:rPr>
          <w:rFonts w:ascii="Times New Roman" w:eastAsia="宋体" w:cs="Times New Roman" w:hAnsi="Times New Roman" w:hint="eastAsia"/>
          <w:b w:val="0"/>
          <w:bCs w:val="0"/>
          <w:kern w:val="2"/>
          <w:sz w:val="24"/>
          <w:szCs w:val="24"/>
          <w:lang w:val="en-US" w:eastAsia="zh-CN" w:bidi="ar-SA"/>
        </w:rPr>
        <w:fldChar w:fldCharType="end"/>
      </w:r>
    </w:p>
    <w:p>
      <w:pPr>
        <w:pStyle w:val="55"/>
        <w:keepNext w:val="0"/>
        <w:keepLines w:val="0"/>
        <w:pageBreakBefore w:val="0"/>
        <w:tabs>
          <w:tab w:val="right" w:leader="dot" w:pos="8306"/>
        </w:tabs>
        <w:kinsoku/>
        <w:wordWrap/>
        <w:overflowPunct/>
        <w:topLinePunct w:val="0"/>
        <w:autoSpaceDE/>
        <w:autoSpaceDN/>
        <w:bidi w:val="0"/>
        <w:spacing w:line="360" w:lineRule="auto"/>
        <w:textAlignment w:val="auto"/>
        <w:rPr>
          <w:rFonts w:ascii="宋体" w:eastAsia="宋体" w:cs="宋体" w:hAnsi="宋体" w:hint="eastAsia"/>
          <w:b w:val="0"/>
          <w:bCs w:val="0"/>
          <w:sz w:val="24"/>
          <w:szCs w:val="24"/>
        </w:rPr>
      </w:pPr>
      <w:r>
        <w:rPr>
          <w:rFonts w:ascii="仿宋" w:eastAsia="仿宋" w:cs="Times New Roman" w:hAnsi="仿宋" w:hint="eastAsia"/>
          <w:b w:val="0"/>
          <w:bCs w:val="0"/>
          <w:kern w:val="2"/>
          <w:sz w:val="24"/>
          <w:szCs w:val="28"/>
          <w:lang w:val="en-US" w:eastAsia="zh-CN" w:bidi="ar-SA"/>
        </w:rPr>
        <w:fldChar w:fldCharType="begin"/>
      </w:r>
      <w:r>
        <w:instrText>HYPERLINK  \l "_Toc17066"</w:instrText>
      </w:r>
      <w:r>
        <w:rPr>
          <w:rFonts w:ascii="仿宋" w:eastAsia="仿宋" w:cs="Times New Roman" w:hAnsi="仿宋" w:hint="eastAsia"/>
          <w:b w:val="0"/>
          <w:bCs w:val="0"/>
          <w:kern w:val="2"/>
          <w:sz w:val="24"/>
          <w:szCs w:val="28"/>
          <w:lang w:val="en-US" w:eastAsia="zh-CN" w:bidi="ar-SA"/>
        </w:rPr>
        <w:fldChar w:fldCharType="separate"/>
      </w:r>
      <w:r>
        <w:rPr>
          <w:rFonts w:ascii="仿宋" w:eastAsia="仿宋" w:cs="Times New Roman" w:hAnsi="仿宋" w:hint="eastAsia"/>
          <w:b w:val="0"/>
          <w:bCs w:val="0"/>
          <w:kern w:val="2"/>
          <w:sz w:val="24"/>
          <w:szCs w:val="28"/>
          <w:lang w:val="en-US" w:eastAsia="zh-CN" w:bidi="ar-SA"/>
        </w:rPr>
        <w:t>第二部分 2022年度部门决算情况说明</w:t>
      </w:r>
      <w:r>
        <w:rPr>
          <w:rFonts w:ascii="宋体" w:eastAsia="宋体" w:cs="宋体" w:hAnsi="宋体" w:hint="eastAsia"/>
          <w:b w:val="0"/>
          <w:bCs w:val="0"/>
          <w:sz w:val="24"/>
          <w:szCs w:val="24"/>
        </w:rPr>
        <w:tab/>
      </w:r>
      <w:r>
        <w:rPr>
          <w:rFonts w:ascii="宋体" w:cs="宋体" w:hAnsi="宋体" w:hint="eastAsia"/>
          <w:b w:val="0"/>
          <w:bCs w:val="0"/>
          <w:sz w:val="24"/>
          <w:szCs w:val="24"/>
          <w:lang w:val="en-US" w:eastAsia="zh-CN"/>
        </w:rPr>
        <w:t>6</w:t>
      </w:r>
      <w:r>
        <w:rPr>
          <w:rFonts w:ascii="仿宋" w:eastAsia="仿宋" w:cs="Times New Roman" w:hAnsi="仿宋" w:hint="eastAsia"/>
          <w:b w:val="0"/>
          <w:bCs w:val="0"/>
          <w:kern w:val="2"/>
          <w:sz w:val="24"/>
          <w:szCs w:val="28"/>
          <w:lang w:val="en-US" w:eastAsia="zh-CN" w:bidi="ar-SA"/>
        </w:rPr>
        <w:fldChar w:fldCharType="end"/>
      </w: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宋体" w:eastAsia="宋体" w:cs="宋体" w:hAnsi="宋体" w:hint="eastAsia"/>
          <w:b w:val="0"/>
          <w:bCs w:val="0"/>
          <w:sz w:val="24"/>
          <w:szCs w:val="24"/>
        </w:rPr>
      </w:pPr>
      <w:r>
        <w:rPr>
          <w:rFonts w:ascii="Times New Roman" w:eastAsia="宋体" w:cs="Times New Roman" w:hAnsi="Times New Roman" w:hint="eastAsia"/>
          <w:b w:val="0"/>
          <w:bCs w:val="0"/>
          <w:kern w:val="2"/>
          <w:sz w:val="24"/>
          <w:szCs w:val="24"/>
          <w:lang w:val="en-US" w:eastAsia="zh-CN" w:bidi="ar-SA"/>
        </w:rPr>
        <w:fldChar w:fldCharType="begin"/>
      </w:r>
      <w:r>
        <w:instrText>HYPERLINK  \l "_Toc21670"</w:instrText>
      </w:r>
      <w:r>
        <w:rPr>
          <w:rFonts w:ascii="Times New Roman" w:eastAsia="宋体" w:cs="Times New Roman" w:hAnsi="Times New Roman" w:hint="eastAsia"/>
          <w:b w:val="0"/>
          <w:bCs w:val="0"/>
          <w:kern w:val="2"/>
          <w:sz w:val="24"/>
          <w:szCs w:val="24"/>
          <w:lang w:val="en-US" w:eastAsia="zh-CN" w:bidi="ar-SA"/>
        </w:rPr>
        <w:fldChar w:fldCharType="separate"/>
      </w:r>
      <w:r>
        <w:rPr>
          <w:rFonts w:ascii="Times New Roman" w:eastAsia="宋体" w:cs="Times New Roman" w:hAnsi="Times New Roman" w:hint="eastAsia"/>
          <w:b w:val="0"/>
          <w:bCs w:val="0"/>
          <w:kern w:val="2"/>
          <w:sz w:val="24"/>
          <w:szCs w:val="24"/>
          <w:lang w:val="en-US" w:eastAsia="zh-CN" w:bidi="ar-SA"/>
        </w:rPr>
        <w:t>一、 收入支出决算总体情况说明</w:t>
      </w:r>
      <w:r>
        <w:rPr>
          <w:rFonts w:ascii="宋体" w:eastAsia="宋体" w:cs="宋体" w:hAnsi="宋体" w:hint="eastAsia"/>
          <w:b w:val="0"/>
          <w:bCs w:val="0"/>
          <w:sz w:val="24"/>
          <w:szCs w:val="24"/>
        </w:rPr>
        <w:tab/>
      </w:r>
      <w:r>
        <w:rPr>
          <w:rFonts w:ascii="宋体" w:cs="宋体" w:hAnsi="宋体" w:hint="eastAsia"/>
          <w:b w:val="0"/>
          <w:bCs w:val="0"/>
          <w:sz w:val="24"/>
          <w:szCs w:val="24"/>
          <w:lang w:val="en-US" w:eastAsia="zh-CN"/>
        </w:rPr>
        <w:t>6</w:t>
      </w:r>
      <w:r>
        <w:rPr>
          <w:rFonts w:ascii="Times New Roman" w:eastAsia="宋体" w:cs="Times New Roman" w:hAnsi="Times New Roman" w:hint="eastAsia"/>
          <w:b w:val="0"/>
          <w:bCs w:val="0"/>
          <w:kern w:val="2"/>
          <w:sz w:val="24"/>
          <w:szCs w:val="24"/>
          <w:lang w:val="en-US" w:eastAsia="zh-CN" w:bidi="ar-SA"/>
        </w:rPr>
        <w:fldChar w:fldCharType="end"/>
      </w: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宋体" w:eastAsia="宋体" w:cs="宋体" w:hAnsi="宋体" w:hint="eastAsia"/>
          <w:b w:val="0"/>
          <w:bCs w:val="0"/>
          <w:sz w:val="24"/>
          <w:szCs w:val="24"/>
        </w:rPr>
      </w:pPr>
      <w:r>
        <w:rPr>
          <w:rFonts w:ascii="Times New Roman" w:eastAsia="宋体" w:cs="Times New Roman" w:hAnsi="Times New Roman" w:hint="eastAsia"/>
          <w:b w:val="0"/>
          <w:bCs w:val="0"/>
          <w:kern w:val="2"/>
          <w:sz w:val="24"/>
          <w:szCs w:val="24"/>
          <w:lang w:val="en-US" w:eastAsia="zh-CN" w:bidi="ar-SA"/>
        </w:rPr>
        <w:fldChar w:fldCharType="begin"/>
      </w:r>
      <w:r>
        <w:instrText>HYPERLINK  \l "_Toc21925"</w:instrText>
      </w:r>
      <w:r>
        <w:rPr>
          <w:rFonts w:ascii="Times New Roman" w:eastAsia="宋体" w:cs="Times New Roman" w:hAnsi="Times New Roman" w:hint="eastAsia"/>
          <w:b w:val="0"/>
          <w:bCs w:val="0"/>
          <w:kern w:val="2"/>
          <w:sz w:val="24"/>
          <w:szCs w:val="24"/>
          <w:lang w:val="en-US" w:eastAsia="zh-CN" w:bidi="ar-SA"/>
        </w:rPr>
        <w:fldChar w:fldCharType="separate"/>
      </w:r>
      <w:r>
        <w:rPr>
          <w:rFonts w:ascii="Times New Roman" w:eastAsia="宋体" w:cs="Times New Roman" w:hAnsi="Times New Roman" w:hint="eastAsia"/>
          <w:b w:val="0"/>
          <w:bCs w:val="0"/>
          <w:kern w:val="2"/>
          <w:sz w:val="24"/>
          <w:szCs w:val="24"/>
          <w:lang w:val="en-US" w:eastAsia="zh-CN" w:bidi="ar-SA"/>
        </w:rPr>
        <w:t>二、 收入决算情况说明</w:t>
      </w:r>
      <w:r>
        <w:rPr>
          <w:rFonts w:ascii="宋体" w:eastAsia="宋体" w:cs="宋体" w:hAnsi="宋体" w:hint="eastAsia"/>
          <w:b w:val="0"/>
          <w:bCs w:val="0"/>
          <w:sz w:val="24"/>
          <w:szCs w:val="24"/>
        </w:rPr>
        <w:tab/>
      </w:r>
      <w:r>
        <w:rPr>
          <w:rFonts w:ascii="宋体" w:cs="宋体" w:hAnsi="宋体" w:hint="eastAsia"/>
          <w:b w:val="0"/>
          <w:bCs w:val="0"/>
          <w:sz w:val="24"/>
          <w:szCs w:val="24"/>
          <w:lang w:val="en-US" w:eastAsia="zh-CN"/>
        </w:rPr>
        <w:t>6</w:t>
      </w:r>
      <w:r>
        <w:rPr>
          <w:rFonts w:ascii="Times New Roman" w:eastAsia="宋体" w:cs="Times New Roman" w:hAnsi="Times New Roman" w:hint="eastAsia"/>
          <w:b w:val="0"/>
          <w:bCs w:val="0"/>
          <w:kern w:val="2"/>
          <w:sz w:val="24"/>
          <w:szCs w:val="24"/>
          <w:lang w:val="en-US" w:eastAsia="zh-CN" w:bidi="ar-SA"/>
        </w:rPr>
        <w:fldChar w:fldCharType="end"/>
      </w: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宋体" w:eastAsia="宋体" w:cs="宋体" w:hAnsi="宋体" w:hint="eastAsia"/>
          <w:b w:val="0"/>
          <w:bCs w:val="0"/>
          <w:sz w:val="24"/>
          <w:szCs w:val="24"/>
          <w:lang w:val="en-US" w:eastAsia="zh-CN"/>
        </w:rPr>
      </w:pPr>
      <w:r>
        <w:rPr>
          <w:rFonts w:ascii="Times New Roman" w:eastAsia="宋体" w:cs="Times New Roman" w:hAnsi="Times New Roman" w:hint="eastAsia"/>
          <w:b w:val="0"/>
          <w:bCs w:val="0"/>
          <w:kern w:val="2"/>
          <w:sz w:val="24"/>
          <w:szCs w:val="24"/>
          <w:lang w:val="en-US" w:eastAsia="zh-CN" w:bidi="ar-SA"/>
        </w:rPr>
        <w:fldChar w:fldCharType="begin"/>
      </w:r>
      <w:r>
        <w:instrText>HYPERLINK  \l "_Toc21076"</w:instrText>
      </w:r>
      <w:r>
        <w:rPr>
          <w:rFonts w:ascii="Times New Roman" w:eastAsia="宋体" w:cs="Times New Roman" w:hAnsi="Times New Roman" w:hint="eastAsia"/>
          <w:b w:val="0"/>
          <w:bCs w:val="0"/>
          <w:kern w:val="2"/>
          <w:sz w:val="24"/>
          <w:szCs w:val="24"/>
          <w:lang w:val="en-US" w:eastAsia="zh-CN" w:bidi="ar-SA"/>
        </w:rPr>
        <w:fldChar w:fldCharType="separate"/>
      </w:r>
      <w:r>
        <w:rPr>
          <w:rFonts w:ascii="Times New Roman" w:eastAsia="宋体" w:cs="Times New Roman" w:hAnsi="Times New Roman" w:hint="eastAsia"/>
          <w:b w:val="0"/>
          <w:bCs w:val="0"/>
          <w:kern w:val="2"/>
          <w:sz w:val="24"/>
          <w:szCs w:val="24"/>
          <w:lang w:val="en-US" w:eastAsia="zh-CN" w:bidi="ar-SA"/>
        </w:rPr>
        <w:t>三、 支出决算情况说明</w:t>
      </w:r>
      <w:r>
        <w:rPr>
          <w:rFonts w:ascii="宋体" w:eastAsia="宋体" w:cs="宋体" w:hAnsi="宋体" w:hint="eastAsia"/>
          <w:b w:val="0"/>
          <w:bCs w:val="0"/>
          <w:sz w:val="24"/>
          <w:szCs w:val="24"/>
        </w:rPr>
        <w:tab/>
      </w:r>
      <w:r>
        <w:rPr>
          <w:rFonts w:ascii="Times New Roman" w:eastAsia="宋体" w:cs="Times New Roman" w:hAnsi="Times New Roman" w:hint="eastAsia"/>
          <w:b w:val="0"/>
          <w:bCs w:val="0"/>
          <w:kern w:val="2"/>
          <w:sz w:val="24"/>
          <w:szCs w:val="24"/>
          <w:lang w:val="en-US" w:eastAsia="zh-CN" w:bidi="ar-SA"/>
        </w:rPr>
        <w:fldChar w:fldCharType="end"/>
      </w:r>
      <w:r>
        <w:rPr>
          <w:rFonts w:ascii="宋体" w:cs="宋体" w:hAnsi="宋体" w:hint="eastAsia"/>
          <w:b w:val="0"/>
          <w:bCs w:val="0"/>
          <w:sz w:val="24"/>
          <w:szCs w:val="24"/>
          <w:lang w:val="en-US" w:eastAsia="zh-CN"/>
        </w:rPr>
        <w:t>7</w:t>
      </w: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宋体" w:eastAsia="宋体" w:cs="宋体" w:hAnsi="宋体" w:hint="eastAsia"/>
          <w:b w:val="0"/>
          <w:bCs w:val="0"/>
          <w:sz w:val="24"/>
          <w:szCs w:val="24"/>
        </w:rPr>
      </w:pPr>
      <w:r>
        <w:rPr>
          <w:rFonts w:ascii="Times New Roman" w:eastAsia="宋体" w:cs="Times New Roman" w:hAnsi="Times New Roman" w:hint="eastAsia"/>
          <w:b w:val="0"/>
          <w:bCs w:val="0"/>
          <w:kern w:val="2"/>
          <w:sz w:val="24"/>
          <w:szCs w:val="24"/>
          <w:lang w:val="en-US" w:eastAsia="zh-CN" w:bidi="ar-SA"/>
        </w:rPr>
        <w:fldChar w:fldCharType="begin"/>
      </w:r>
      <w:r>
        <w:instrText>HYPERLINK  \l "_Toc1971"</w:instrText>
      </w:r>
      <w:r>
        <w:rPr>
          <w:rFonts w:ascii="Times New Roman" w:eastAsia="宋体" w:cs="Times New Roman" w:hAnsi="Times New Roman" w:hint="eastAsia"/>
          <w:b w:val="0"/>
          <w:bCs w:val="0"/>
          <w:kern w:val="2"/>
          <w:sz w:val="24"/>
          <w:szCs w:val="24"/>
          <w:lang w:val="en-US" w:eastAsia="zh-CN" w:bidi="ar-SA"/>
        </w:rPr>
        <w:fldChar w:fldCharType="separate"/>
      </w:r>
      <w:r>
        <w:rPr>
          <w:rFonts w:ascii="Times New Roman" w:eastAsia="宋体" w:cs="Times New Roman" w:hAnsi="Times New Roman" w:hint="eastAsia"/>
          <w:b w:val="0"/>
          <w:bCs w:val="0"/>
          <w:kern w:val="2"/>
          <w:sz w:val="24"/>
          <w:szCs w:val="24"/>
          <w:lang w:val="en-US" w:eastAsia="zh-CN" w:bidi="ar-SA"/>
        </w:rPr>
        <w:t>四、财政拨款收入支出决算总体情况说明</w:t>
      </w:r>
      <w:r>
        <w:rPr>
          <w:rFonts w:ascii="宋体" w:eastAsia="宋体" w:cs="宋体" w:hAnsi="宋体" w:hint="eastAsia"/>
          <w:b w:val="0"/>
          <w:bCs w:val="0"/>
          <w:sz w:val="24"/>
          <w:szCs w:val="24"/>
        </w:rPr>
        <w:tab/>
      </w:r>
      <w:r>
        <w:rPr>
          <w:rFonts w:ascii="宋体" w:cs="宋体" w:hAnsi="宋体" w:hint="eastAsia"/>
          <w:b w:val="0"/>
          <w:bCs w:val="0"/>
          <w:sz w:val="24"/>
          <w:szCs w:val="24"/>
          <w:lang w:val="en-US" w:eastAsia="zh-CN"/>
        </w:rPr>
        <w:t>8</w:t>
      </w:r>
      <w:r>
        <w:rPr>
          <w:rFonts w:ascii="Times New Roman" w:eastAsia="宋体" w:cs="Times New Roman" w:hAnsi="Times New Roman" w:hint="eastAsia"/>
          <w:b w:val="0"/>
          <w:bCs w:val="0"/>
          <w:kern w:val="2"/>
          <w:sz w:val="24"/>
          <w:szCs w:val="24"/>
          <w:lang w:val="en-US" w:eastAsia="zh-CN" w:bidi="ar-SA"/>
        </w:rPr>
        <w:fldChar w:fldCharType="end"/>
      </w: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宋体" w:eastAsia="宋体" w:cs="宋体" w:hAnsi="宋体" w:hint="eastAsia"/>
          <w:b w:val="0"/>
          <w:bCs w:val="0"/>
          <w:sz w:val="24"/>
          <w:szCs w:val="24"/>
        </w:rPr>
      </w:pPr>
      <w:r>
        <w:rPr>
          <w:rFonts w:ascii="Times New Roman" w:eastAsia="宋体" w:cs="Times New Roman" w:hAnsi="Times New Roman" w:hint="eastAsia"/>
          <w:b w:val="0"/>
          <w:bCs w:val="0"/>
          <w:kern w:val="2"/>
          <w:sz w:val="24"/>
          <w:szCs w:val="24"/>
          <w:lang w:val="en-US" w:eastAsia="zh-CN" w:bidi="ar-SA"/>
        </w:rPr>
        <w:fldChar w:fldCharType="begin"/>
      </w:r>
      <w:r>
        <w:instrText>HYPERLINK  \l "_Toc28953"</w:instrText>
      </w:r>
      <w:r>
        <w:rPr>
          <w:rFonts w:ascii="Times New Roman" w:eastAsia="宋体" w:cs="Times New Roman" w:hAnsi="Times New Roman" w:hint="eastAsia"/>
          <w:b w:val="0"/>
          <w:bCs w:val="0"/>
          <w:kern w:val="2"/>
          <w:sz w:val="24"/>
          <w:szCs w:val="24"/>
          <w:lang w:val="en-US" w:eastAsia="zh-CN" w:bidi="ar-SA"/>
        </w:rPr>
        <w:fldChar w:fldCharType="separate"/>
      </w:r>
      <w:r>
        <w:rPr>
          <w:rFonts w:ascii="Times New Roman" w:eastAsia="宋体" w:cs="Times New Roman" w:hAnsi="Times New Roman" w:hint="eastAsia"/>
          <w:b w:val="0"/>
          <w:bCs w:val="0"/>
          <w:kern w:val="2"/>
          <w:sz w:val="24"/>
          <w:szCs w:val="24"/>
          <w:lang w:val="en-US" w:eastAsia="zh-CN" w:bidi="ar-SA"/>
        </w:rPr>
        <w:t>五、一般公共预算财政拨款支出决算情况说明</w:t>
      </w:r>
      <w:r>
        <w:rPr>
          <w:rFonts w:ascii="宋体" w:eastAsia="宋体" w:cs="宋体" w:hAnsi="宋体" w:hint="eastAsia"/>
          <w:b w:val="0"/>
          <w:bCs w:val="0"/>
          <w:sz w:val="24"/>
          <w:szCs w:val="24"/>
        </w:rPr>
        <w:tab/>
      </w:r>
      <w:r>
        <w:rPr>
          <w:rFonts w:ascii="宋体" w:cs="宋体" w:hAnsi="宋体" w:hint="eastAsia"/>
          <w:b w:val="0"/>
          <w:bCs w:val="0"/>
          <w:sz w:val="24"/>
          <w:szCs w:val="24"/>
          <w:lang w:val="en-US" w:eastAsia="zh-CN"/>
        </w:rPr>
        <w:t>9</w:t>
      </w:r>
      <w:r>
        <w:rPr>
          <w:rFonts w:ascii="Times New Roman" w:eastAsia="宋体" w:cs="Times New Roman" w:hAnsi="Times New Roman" w:hint="eastAsia"/>
          <w:b w:val="0"/>
          <w:bCs w:val="0"/>
          <w:kern w:val="2"/>
          <w:sz w:val="24"/>
          <w:szCs w:val="24"/>
          <w:lang w:val="en-US" w:eastAsia="zh-CN" w:bidi="ar-SA"/>
        </w:rPr>
        <w:fldChar w:fldCharType="end"/>
      </w: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宋体" w:eastAsia="宋体" w:cs="宋体" w:hAnsi="宋体" w:hint="eastAsia"/>
          <w:b w:val="0"/>
          <w:bCs w:val="0"/>
          <w:sz w:val="24"/>
          <w:szCs w:val="24"/>
          <w:lang w:val="en-US" w:eastAsia="zh-CN"/>
        </w:rPr>
      </w:pPr>
      <w:r>
        <w:rPr>
          <w:rFonts w:ascii="Times New Roman" w:eastAsia="宋体" w:cs="Times New Roman" w:hAnsi="Times New Roman" w:hint="eastAsia"/>
          <w:b w:val="0"/>
          <w:bCs w:val="0"/>
          <w:kern w:val="2"/>
          <w:sz w:val="24"/>
          <w:szCs w:val="24"/>
          <w:lang w:val="en-US" w:eastAsia="zh-CN" w:bidi="ar-SA"/>
        </w:rPr>
        <w:fldChar w:fldCharType="begin"/>
      </w:r>
      <w:r>
        <w:instrText>HYPERLINK  \l "_Toc23425"</w:instrText>
      </w:r>
      <w:r>
        <w:rPr>
          <w:rFonts w:ascii="Times New Roman" w:eastAsia="宋体" w:cs="Times New Roman" w:hAnsi="Times New Roman" w:hint="eastAsia"/>
          <w:b w:val="0"/>
          <w:bCs w:val="0"/>
          <w:kern w:val="2"/>
          <w:sz w:val="24"/>
          <w:szCs w:val="24"/>
          <w:lang w:val="en-US" w:eastAsia="zh-CN" w:bidi="ar-SA"/>
        </w:rPr>
        <w:fldChar w:fldCharType="separate"/>
      </w:r>
      <w:r>
        <w:rPr>
          <w:rFonts w:ascii="Times New Roman" w:eastAsia="宋体" w:cs="Times New Roman" w:hAnsi="Times New Roman" w:hint="eastAsia"/>
          <w:b w:val="0"/>
          <w:bCs w:val="0"/>
          <w:kern w:val="2"/>
          <w:sz w:val="24"/>
          <w:szCs w:val="24"/>
          <w:lang w:val="en-US" w:eastAsia="zh-CN" w:bidi="ar-SA"/>
        </w:rPr>
        <w:t>六、一般公共预算财政拨款基本支出决算情况说明</w:t>
      </w:r>
      <w:r>
        <w:rPr>
          <w:rFonts w:ascii="宋体" w:eastAsia="宋体" w:cs="宋体" w:hAnsi="宋体" w:hint="eastAsia"/>
          <w:b w:val="0"/>
          <w:bCs w:val="0"/>
          <w:sz w:val="24"/>
          <w:szCs w:val="24"/>
        </w:rPr>
        <w:tab/>
      </w:r>
      <w:r>
        <w:rPr>
          <w:rFonts w:ascii="宋体" w:cs="宋体" w:hAnsi="宋体" w:hint="eastAsia"/>
          <w:b w:val="0"/>
          <w:bCs w:val="0"/>
          <w:sz w:val="24"/>
          <w:szCs w:val="24"/>
          <w:lang w:val="en-US" w:eastAsia="zh-CN"/>
        </w:rPr>
        <w:t>1</w:t>
      </w:r>
      <w:r>
        <w:rPr>
          <w:rFonts w:ascii="Times New Roman" w:eastAsia="宋体" w:cs="Times New Roman" w:hAnsi="Times New Roman" w:hint="eastAsia"/>
          <w:b w:val="0"/>
          <w:bCs w:val="0"/>
          <w:kern w:val="2"/>
          <w:sz w:val="24"/>
          <w:szCs w:val="24"/>
          <w:lang w:val="en-US" w:eastAsia="zh-CN" w:bidi="ar-SA"/>
        </w:rPr>
        <w:fldChar w:fldCharType="end"/>
      </w:r>
      <w:r>
        <w:rPr>
          <w:rFonts w:ascii="宋体" w:cs="宋体" w:hAnsi="宋体" w:hint="eastAsia"/>
          <w:b w:val="0"/>
          <w:bCs w:val="0"/>
          <w:sz w:val="24"/>
          <w:szCs w:val="24"/>
          <w:lang w:val="en-US" w:eastAsia="zh-CN"/>
        </w:rPr>
        <w:t>2</w:t>
      </w: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宋体" w:eastAsia="宋体" w:cs="宋体" w:hAnsi="宋体" w:hint="eastAsia"/>
          <w:b w:val="0"/>
          <w:bCs w:val="0"/>
          <w:sz w:val="24"/>
          <w:szCs w:val="24"/>
          <w:lang w:val="en-US" w:eastAsia="zh-CN"/>
        </w:rPr>
      </w:pPr>
      <w:r>
        <w:rPr>
          <w:rFonts w:ascii="Times New Roman" w:eastAsia="宋体" w:cs="Times New Roman" w:hAnsi="Times New Roman" w:hint="eastAsia"/>
          <w:b w:val="0"/>
          <w:bCs w:val="0"/>
          <w:kern w:val="2"/>
          <w:sz w:val="24"/>
          <w:szCs w:val="24"/>
          <w:lang w:val="en-US" w:eastAsia="zh-CN" w:bidi="ar-SA"/>
        </w:rPr>
        <w:fldChar w:fldCharType="begin"/>
      </w:r>
      <w:r>
        <w:instrText>HYPERLINK  \l "_Toc28970"</w:instrText>
      </w:r>
      <w:r>
        <w:rPr>
          <w:rFonts w:ascii="Times New Roman" w:eastAsia="宋体" w:cs="Times New Roman" w:hAnsi="Times New Roman" w:hint="eastAsia"/>
          <w:b w:val="0"/>
          <w:bCs w:val="0"/>
          <w:kern w:val="2"/>
          <w:sz w:val="24"/>
          <w:szCs w:val="24"/>
          <w:lang w:val="en-US" w:eastAsia="zh-CN" w:bidi="ar-SA"/>
        </w:rPr>
        <w:fldChar w:fldCharType="separate"/>
      </w:r>
      <w:r>
        <w:rPr>
          <w:rFonts w:ascii="Times New Roman" w:eastAsia="宋体" w:cs="Times New Roman" w:hAnsi="Times New Roman" w:hint="eastAsia"/>
          <w:b w:val="0"/>
          <w:bCs w:val="0"/>
          <w:kern w:val="2"/>
          <w:sz w:val="24"/>
          <w:szCs w:val="24"/>
          <w:lang w:val="en-US" w:eastAsia="zh-CN" w:bidi="ar-SA"/>
        </w:rPr>
        <w:t>七、财政拨款“三公”经费支出决算情况说明</w:t>
      </w:r>
      <w:r>
        <w:rPr>
          <w:rFonts w:ascii="宋体" w:eastAsia="宋体" w:cs="宋体" w:hAnsi="宋体" w:hint="eastAsia"/>
          <w:b w:val="0"/>
          <w:bCs w:val="0"/>
          <w:sz w:val="24"/>
          <w:szCs w:val="24"/>
        </w:rPr>
        <w:tab/>
      </w:r>
      <w:r>
        <w:rPr>
          <w:rFonts w:ascii="宋体" w:cs="宋体" w:hAnsi="宋体" w:hint="eastAsia"/>
          <w:b w:val="0"/>
          <w:bCs w:val="0"/>
          <w:sz w:val="24"/>
          <w:szCs w:val="24"/>
          <w:lang w:val="en-US" w:eastAsia="zh-CN"/>
        </w:rPr>
        <w:t>1</w:t>
      </w:r>
      <w:r>
        <w:rPr>
          <w:rFonts w:ascii="Times New Roman" w:eastAsia="宋体" w:cs="Times New Roman" w:hAnsi="Times New Roman" w:hint="eastAsia"/>
          <w:b w:val="0"/>
          <w:bCs w:val="0"/>
          <w:kern w:val="2"/>
          <w:sz w:val="24"/>
          <w:szCs w:val="24"/>
          <w:lang w:val="en-US" w:eastAsia="zh-CN" w:bidi="ar-SA"/>
        </w:rPr>
        <w:fldChar w:fldCharType="end"/>
      </w:r>
      <w:r>
        <w:rPr>
          <w:rFonts w:ascii="宋体" w:cs="宋体" w:hAnsi="宋体" w:hint="eastAsia"/>
          <w:b w:val="0"/>
          <w:bCs w:val="0"/>
          <w:sz w:val="24"/>
          <w:szCs w:val="24"/>
          <w:lang w:val="en-US" w:eastAsia="zh-CN"/>
        </w:rPr>
        <w:t>2</w:t>
      </w: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宋体" w:eastAsia="宋体" w:cs="宋体" w:hAnsi="宋体" w:hint="eastAsia"/>
          <w:b w:val="0"/>
          <w:bCs w:val="0"/>
          <w:sz w:val="24"/>
          <w:szCs w:val="24"/>
          <w:lang w:val="en-US" w:eastAsia="zh-CN"/>
        </w:rPr>
      </w:pPr>
      <w:r>
        <w:rPr>
          <w:rFonts w:ascii="Times New Roman" w:eastAsia="宋体" w:cs="Times New Roman" w:hAnsi="Times New Roman" w:hint="eastAsia"/>
          <w:b w:val="0"/>
          <w:bCs w:val="0"/>
          <w:kern w:val="2"/>
          <w:sz w:val="24"/>
          <w:szCs w:val="24"/>
          <w:lang w:val="en-US" w:eastAsia="zh-CN" w:bidi="ar-SA"/>
        </w:rPr>
        <w:fldChar w:fldCharType="begin"/>
      </w:r>
      <w:r>
        <w:instrText>HYPERLINK  \l "_Toc31947"</w:instrText>
      </w:r>
      <w:r>
        <w:rPr>
          <w:rFonts w:ascii="Times New Roman" w:eastAsia="宋体" w:cs="Times New Roman" w:hAnsi="Times New Roman" w:hint="eastAsia"/>
          <w:b w:val="0"/>
          <w:bCs w:val="0"/>
          <w:kern w:val="2"/>
          <w:sz w:val="24"/>
          <w:szCs w:val="24"/>
          <w:lang w:val="en-US" w:eastAsia="zh-CN" w:bidi="ar-SA"/>
        </w:rPr>
        <w:fldChar w:fldCharType="separate"/>
      </w:r>
      <w:r>
        <w:rPr>
          <w:rFonts w:ascii="Times New Roman" w:eastAsia="宋体" w:cs="Times New Roman" w:hAnsi="Times New Roman" w:hint="eastAsia"/>
          <w:b w:val="0"/>
          <w:bCs w:val="0"/>
          <w:kern w:val="2"/>
          <w:sz w:val="24"/>
          <w:szCs w:val="24"/>
          <w:lang w:val="en-US" w:eastAsia="zh-CN" w:bidi="ar-SA"/>
        </w:rPr>
        <w:t>八、政府性基金预算支出决算情况说明</w:t>
      </w:r>
      <w:r>
        <w:rPr>
          <w:rFonts w:ascii="宋体" w:eastAsia="宋体" w:cs="宋体" w:hAnsi="宋体" w:hint="eastAsia"/>
          <w:b w:val="0"/>
          <w:bCs w:val="0"/>
          <w:sz w:val="24"/>
          <w:szCs w:val="24"/>
        </w:rPr>
        <w:tab/>
      </w:r>
      <w:r>
        <w:rPr>
          <w:rFonts w:ascii="宋体" w:cs="宋体" w:hAnsi="宋体" w:hint="eastAsia"/>
          <w:b w:val="0"/>
          <w:bCs w:val="0"/>
          <w:sz w:val="24"/>
          <w:szCs w:val="24"/>
          <w:lang w:val="en-US" w:eastAsia="zh-CN"/>
        </w:rPr>
        <w:t>1</w:t>
      </w:r>
      <w:r>
        <w:rPr>
          <w:rFonts w:ascii="Times New Roman" w:eastAsia="宋体" w:cs="Times New Roman" w:hAnsi="Times New Roman" w:hint="eastAsia"/>
          <w:b w:val="0"/>
          <w:bCs w:val="0"/>
          <w:kern w:val="2"/>
          <w:sz w:val="24"/>
          <w:szCs w:val="24"/>
          <w:lang w:val="en-US" w:eastAsia="zh-CN" w:bidi="ar-SA"/>
        </w:rPr>
        <w:fldChar w:fldCharType="end"/>
      </w:r>
      <w:r>
        <w:rPr>
          <w:rFonts w:ascii="宋体" w:cs="宋体" w:hAnsi="宋体" w:hint="eastAsia"/>
          <w:b w:val="0"/>
          <w:bCs w:val="0"/>
          <w:sz w:val="24"/>
          <w:szCs w:val="24"/>
          <w:lang w:val="en-US" w:eastAsia="zh-CN"/>
        </w:rPr>
        <w:t>4</w:t>
      </w: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宋体" w:eastAsia="宋体" w:cs="宋体" w:hAnsi="宋体" w:hint="eastAsia"/>
          <w:b w:val="0"/>
          <w:bCs w:val="0"/>
          <w:sz w:val="24"/>
          <w:szCs w:val="24"/>
          <w:lang w:val="en-US" w:eastAsia="zh-CN"/>
        </w:rPr>
      </w:pPr>
      <w:r>
        <w:rPr>
          <w:rFonts w:ascii="Times New Roman" w:eastAsia="宋体" w:cs="Times New Roman" w:hAnsi="Times New Roman" w:hint="eastAsia"/>
          <w:b w:val="0"/>
          <w:bCs w:val="0"/>
          <w:kern w:val="2"/>
          <w:sz w:val="24"/>
          <w:szCs w:val="24"/>
          <w:lang w:val="en-US" w:eastAsia="zh-CN" w:bidi="ar-SA"/>
        </w:rPr>
        <w:fldChar w:fldCharType="begin"/>
      </w:r>
      <w:r>
        <w:instrText>HYPERLINK  \l "_Toc22909"</w:instrText>
      </w:r>
      <w:r>
        <w:rPr>
          <w:rFonts w:ascii="Times New Roman" w:eastAsia="宋体" w:cs="Times New Roman" w:hAnsi="Times New Roman" w:hint="eastAsia"/>
          <w:b w:val="0"/>
          <w:bCs w:val="0"/>
          <w:kern w:val="2"/>
          <w:sz w:val="24"/>
          <w:szCs w:val="24"/>
          <w:lang w:val="en-US" w:eastAsia="zh-CN" w:bidi="ar-SA"/>
        </w:rPr>
        <w:fldChar w:fldCharType="separate"/>
      </w:r>
      <w:r>
        <w:rPr>
          <w:rFonts w:ascii="Times New Roman" w:eastAsia="宋体" w:cs="Times New Roman" w:hAnsi="Times New Roman" w:hint="eastAsia"/>
          <w:b w:val="0"/>
          <w:bCs w:val="0"/>
          <w:kern w:val="2"/>
          <w:sz w:val="24"/>
          <w:szCs w:val="24"/>
          <w:lang w:val="en-US" w:eastAsia="zh-CN" w:bidi="ar-SA"/>
        </w:rPr>
        <w:t>九、 国有资本经营预算支出决算情况说明</w:t>
      </w:r>
      <w:r>
        <w:rPr>
          <w:rFonts w:ascii="宋体" w:eastAsia="宋体" w:cs="宋体" w:hAnsi="宋体" w:hint="eastAsia"/>
          <w:b w:val="0"/>
          <w:bCs w:val="0"/>
          <w:sz w:val="24"/>
          <w:szCs w:val="24"/>
        </w:rPr>
        <w:tab/>
      </w:r>
      <w:r>
        <w:rPr>
          <w:rFonts w:ascii="宋体" w:cs="宋体" w:hAnsi="宋体" w:hint="eastAsia"/>
          <w:b w:val="0"/>
          <w:bCs w:val="0"/>
          <w:sz w:val="24"/>
          <w:szCs w:val="24"/>
          <w:lang w:val="en-US" w:eastAsia="zh-CN"/>
        </w:rPr>
        <w:t>1</w:t>
      </w:r>
      <w:r>
        <w:rPr>
          <w:rFonts w:ascii="Times New Roman" w:eastAsia="宋体" w:cs="Times New Roman" w:hAnsi="Times New Roman" w:hint="eastAsia"/>
          <w:b w:val="0"/>
          <w:bCs w:val="0"/>
          <w:kern w:val="2"/>
          <w:sz w:val="24"/>
          <w:szCs w:val="24"/>
          <w:lang w:val="en-US" w:eastAsia="zh-CN" w:bidi="ar-SA"/>
        </w:rPr>
        <w:fldChar w:fldCharType="end"/>
      </w:r>
      <w:r>
        <w:rPr>
          <w:rFonts w:ascii="宋体" w:cs="宋体" w:hAnsi="宋体" w:hint="eastAsia"/>
          <w:b w:val="0"/>
          <w:bCs w:val="0"/>
          <w:sz w:val="24"/>
          <w:szCs w:val="24"/>
          <w:lang w:val="en-US" w:eastAsia="zh-CN"/>
        </w:rPr>
        <w:t>4</w:t>
      </w: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宋体" w:eastAsia="宋体" w:cs="宋体" w:hAnsi="宋体" w:hint="eastAsia"/>
          <w:b w:val="0"/>
          <w:bCs w:val="0"/>
          <w:sz w:val="24"/>
          <w:szCs w:val="24"/>
          <w:lang w:val="en-US" w:eastAsia="zh-CN"/>
        </w:rPr>
      </w:pPr>
      <w:r>
        <w:rPr>
          <w:rFonts w:ascii="Times New Roman" w:eastAsia="宋体" w:cs="Times New Roman" w:hAnsi="Times New Roman" w:hint="eastAsia"/>
          <w:b w:val="0"/>
          <w:bCs w:val="0"/>
          <w:kern w:val="2"/>
          <w:sz w:val="24"/>
          <w:szCs w:val="24"/>
          <w:lang w:val="en-US" w:eastAsia="zh-CN" w:bidi="ar-SA"/>
        </w:rPr>
        <w:fldChar w:fldCharType="begin"/>
      </w:r>
      <w:r>
        <w:instrText>HYPERLINK  \l "_Toc7492"</w:instrText>
      </w:r>
      <w:r>
        <w:rPr>
          <w:rFonts w:ascii="Times New Roman" w:eastAsia="宋体" w:cs="Times New Roman" w:hAnsi="Times New Roman" w:hint="eastAsia"/>
          <w:b w:val="0"/>
          <w:bCs w:val="0"/>
          <w:kern w:val="2"/>
          <w:sz w:val="24"/>
          <w:szCs w:val="24"/>
          <w:lang w:val="en-US" w:eastAsia="zh-CN" w:bidi="ar-SA"/>
        </w:rPr>
        <w:fldChar w:fldCharType="separate"/>
      </w:r>
      <w:r>
        <w:rPr>
          <w:rFonts w:ascii="Times New Roman" w:eastAsia="宋体" w:cs="Times New Roman" w:hAnsi="Times New Roman" w:hint="eastAsia"/>
          <w:b w:val="0"/>
          <w:bCs w:val="0"/>
          <w:kern w:val="2"/>
          <w:sz w:val="24"/>
          <w:szCs w:val="24"/>
          <w:lang w:val="en-US" w:eastAsia="zh-CN" w:bidi="ar-SA"/>
        </w:rPr>
        <w:t>十、 其他重要事项的情况说明</w:t>
      </w:r>
      <w:r>
        <w:rPr>
          <w:rFonts w:ascii="宋体" w:eastAsia="宋体" w:cs="宋体" w:hAnsi="宋体" w:hint="eastAsia"/>
          <w:b w:val="0"/>
          <w:bCs w:val="0"/>
          <w:sz w:val="24"/>
          <w:szCs w:val="24"/>
        </w:rPr>
        <w:tab/>
      </w:r>
      <w:r>
        <w:rPr>
          <w:rFonts w:ascii="宋体" w:cs="宋体" w:hAnsi="宋体" w:hint="eastAsia"/>
          <w:b w:val="0"/>
          <w:bCs w:val="0"/>
          <w:sz w:val="24"/>
          <w:szCs w:val="24"/>
          <w:lang w:val="en-US" w:eastAsia="zh-CN"/>
        </w:rPr>
        <w:t>1</w:t>
      </w:r>
      <w:r>
        <w:rPr>
          <w:rFonts w:ascii="Times New Roman" w:eastAsia="宋体" w:cs="Times New Roman" w:hAnsi="Times New Roman" w:hint="eastAsia"/>
          <w:b w:val="0"/>
          <w:bCs w:val="0"/>
          <w:kern w:val="2"/>
          <w:sz w:val="24"/>
          <w:szCs w:val="24"/>
          <w:lang w:val="en-US" w:eastAsia="zh-CN" w:bidi="ar-SA"/>
        </w:rPr>
        <w:fldChar w:fldCharType="end"/>
      </w:r>
      <w:r>
        <w:rPr>
          <w:rFonts w:ascii="宋体" w:cs="宋体" w:hAnsi="宋体" w:hint="eastAsia"/>
          <w:b w:val="0"/>
          <w:bCs w:val="0"/>
          <w:sz w:val="24"/>
          <w:szCs w:val="24"/>
          <w:lang w:val="en-US" w:eastAsia="zh-CN"/>
        </w:rPr>
        <w:t>4</w:t>
      </w:r>
    </w:p>
    <w:p>
      <w:pPr>
        <w:pStyle w:val="55"/>
        <w:keepNext w:val="0"/>
        <w:keepLines w:val="0"/>
        <w:pageBreakBefore w:val="0"/>
        <w:tabs>
          <w:tab w:val="right" w:leader="dot" w:pos="8306"/>
        </w:tabs>
        <w:kinsoku/>
        <w:wordWrap/>
        <w:overflowPunct/>
        <w:topLinePunct w:val="0"/>
        <w:autoSpaceDE/>
        <w:autoSpaceDN/>
        <w:bidi w:val="0"/>
        <w:spacing w:line="360" w:lineRule="auto"/>
        <w:textAlignment w:val="auto"/>
        <w:rPr>
          <w:rFonts w:ascii="宋体" w:eastAsia="宋体" w:cs="宋体" w:hAnsi="宋体" w:hint="eastAsia"/>
          <w:b w:val="0"/>
          <w:bCs w:val="0"/>
          <w:sz w:val="24"/>
          <w:szCs w:val="24"/>
          <w:lang w:val="en-US" w:eastAsia="zh-CN"/>
        </w:rPr>
      </w:pPr>
      <w:r>
        <w:rPr>
          <w:rFonts w:ascii="仿宋" w:eastAsia="仿宋" w:cs="Times New Roman" w:hAnsi="仿宋" w:hint="eastAsia"/>
          <w:b w:val="0"/>
          <w:bCs w:val="0"/>
          <w:kern w:val="2"/>
          <w:sz w:val="24"/>
          <w:szCs w:val="28"/>
          <w:lang w:val="en-US" w:eastAsia="zh-CN" w:bidi="ar-SA"/>
        </w:rPr>
        <w:fldChar w:fldCharType="begin"/>
      </w:r>
      <w:r>
        <w:instrText>HYPERLINK  \l "_Toc1356"</w:instrText>
      </w:r>
      <w:r>
        <w:rPr>
          <w:rFonts w:ascii="仿宋" w:eastAsia="仿宋" w:cs="Times New Roman" w:hAnsi="仿宋" w:hint="eastAsia"/>
          <w:b w:val="0"/>
          <w:bCs w:val="0"/>
          <w:kern w:val="2"/>
          <w:sz w:val="24"/>
          <w:szCs w:val="28"/>
          <w:lang w:val="en-US" w:eastAsia="zh-CN" w:bidi="ar-SA"/>
        </w:rPr>
        <w:fldChar w:fldCharType="separate"/>
      </w:r>
      <w:r>
        <w:rPr>
          <w:rFonts w:ascii="仿宋" w:eastAsia="仿宋" w:cs="Times New Roman" w:hAnsi="仿宋" w:hint="eastAsia"/>
          <w:b w:val="0"/>
          <w:bCs w:val="0"/>
          <w:kern w:val="2"/>
          <w:sz w:val="24"/>
          <w:szCs w:val="28"/>
          <w:lang w:val="en-US" w:eastAsia="zh-CN" w:bidi="ar-SA"/>
        </w:rPr>
        <w:t>第三部分 名词解释</w:t>
      </w:r>
      <w:r>
        <w:rPr>
          <w:rFonts w:ascii="宋体" w:eastAsia="宋体" w:cs="宋体" w:hAnsi="宋体" w:hint="eastAsia"/>
          <w:b w:val="0"/>
          <w:bCs w:val="0"/>
          <w:sz w:val="24"/>
          <w:szCs w:val="24"/>
        </w:rPr>
        <w:tab/>
      </w:r>
      <w:r>
        <w:rPr>
          <w:rFonts w:ascii="宋体" w:cs="宋体" w:hAnsi="宋体" w:hint="eastAsia"/>
          <w:b w:val="0"/>
          <w:bCs w:val="0"/>
          <w:sz w:val="24"/>
          <w:szCs w:val="24"/>
          <w:lang w:val="en-US" w:eastAsia="zh-CN"/>
        </w:rPr>
        <w:t>1</w:t>
      </w:r>
      <w:r>
        <w:rPr>
          <w:rFonts w:ascii="仿宋" w:eastAsia="仿宋" w:cs="Times New Roman" w:hAnsi="仿宋" w:hint="eastAsia"/>
          <w:b w:val="0"/>
          <w:bCs w:val="0"/>
          <w:kern w:val="2"/>
          <w:sz w:val="24"/>
          <w:szCs w:val="28"/>
          <w:lang w:val="en-US" w:eastAsia="zh-CN" w:bidi="ar-SA"/>
        </w:rPr>
        <w:fldChar w:fldCharType="end"/>
      </w:r>
      <w:r>
        <w:rPr>
          <w:rFonts w:ascii="宋体" w:cs="宋体" w:hAnsi="宋体" w:hint="eastAsia"/>
          <w:b w:val="0"/>
          <w:bCs w:val="0"/>
          <w:sz w:val="24"/>
          <w:szCs w:val="24"/>
          <w:lang w:val="en-US" w:eastAsia="zh-CN"/>
        </w:rPr>
        <w:t>7</w:t>
      </w:r>
    </w:p>
    <w:p>
      <w:pPr>
        <w:pStyle w:val="55"/>
        <w:keepNext w:val="0"/>
        <w:keepLines w:val="0"/>
        <w:pageBreakBefore w:val="0"/>
        <w:tabs>
          <w:tab w:val="right" w:leader="dot" w:pos="8306"/>
        </w:tabs>
        <w:kinsoku/>
        <w:wordWrap/>
        <w:overflowPunct/>
        <w:topLinePunct w:val="0"/>
        <w:autoSpaceDE/>
        <w:autoSpaceDN/>
        <w:bidi w:val="0"/>
        <w:spacing w:line="360" w:lineRule="auto"/>
        <w:textAlignment w:val="auto"/>
        <w:rPr>
          <w:rFonts w:ascii="宋体" w:eastAsia="宋体" w:cs="宋体" w:hAnsi="宋体" w:hint="eastAsia"/>
          <w:b w:val="0"/>
          <w:bCs w:val="0"/>
          <w:sz w:val="24"/>
          <w:szCs w:val="24"/>
          <w:lang w:val="en-US" w:eastAsia="zh-CN"/>
        </w:rPr>
      </w:pPr>
      <w:r>
        <w:rPr>
          <w:rFonts w:ascii="仿宋" w:eastAsia="仿宋" w:cs="Times New Roman" w:hAnsi="仿宋" w:hint="eastAsia"/>
          <w:b w:val="0"/>
          <w:bCs w:val="0"/>
          <w:kern w:val="2"/>
          <w:sz w:val="24"/>
          <w:szCs w:val="28"/>
          <w:lang w:val="en-US" w:eastAsia="zh-CN" w:bidi="ar-SA"/>
        </w:rPr>
        <w:fldChar w:fldCharType="begin"/>
      </w:r>
      <w:r>
        <w:instrText>HYPERLINK  \l "_Toc12364"</w:instrText>
      </w:r>
      <w:r>
        <w:rPr>
          <w:rFonts w:ascii="仿宋" w:eastAsia="仿宋" w:cs="Times New Roman" w:hAnsi="仿宋" w:hint="eastAsia"/>
          <w:b w:val="0"/>
          <w:bCs w:val="0"/>
          <w:kern w:val="2"/>
          <w:sz w:val="24"/>
          <w:szCs w:val="28"/>
          <w:lang w:val="en-US" w:eastAsia="zh-CN" w:bidi="ar-SA"/>
        </w:rPr>
        <w:fldChar w:fldCharType="separate"/>
      </w:r>
      <w:r>
        <w:rPr>
          <w:rFonts w:ascii="仿宋" w:eastAsia="仿宋" w:cs="Times New Roman" w:hAnsi="仿宋" w:hint="eastAsia"/>
          <w:b w:val="0"/>
          <w:bCs w:val="0"/>
          <w:kern w:val="2"/>
          <w:sz w:val="24"/>
          <w:szCs w:val="28"/>
          <w:lang w:val="en-US" w:eastAsia="zh-CN" w:bidi="ar-SA"/>
        </w:rPr>
        <w:t>第四部分 附件</w:t>
      </w:r>
      <w:r>
        <w:rPr>
          <w:rFonts w:ascii="宋体" w:eastAsia="宋体" w:cs="宋体" w:hAnsi="宋体" w:hint="eastAsia"/>
          <w:b w:val="0"/>
          <w:bCs w:val="0"/>
          <w:sz w:val="24"/>
          <w:szCs w:val="24"/>
        </w:rPr>
        <w:tab/>
      </w:r>
      <w:r>
        <w:rPr>
          <w:rFonts w:ascii="宋体" w:cs="宋体" w:hAnsi="宋体" w:hint="eastAsia"/>
          <w:b w:val="0"/>
          <w:bCs w:val="0"/>
          <w:sz w:val="24"/>
          <w:szCs w:val="24"/>
          <w:lang w:val="en-US" w:eastAsia="zh-CN"/>
        </w:rPr>
        <w:t>2</w:t>
      </w:r>
      <w:r>
        <w:rPr>
          <w:rFonts w:ascii="仿宋" w:eastAsia="仿宋" w:cs="Times New Roman" w:hAnsi="仿宋" w:hint="eastAsia"/>
          <w:b w:val="0"/>
          <w:bCs w:val="0"/>
          <w:kern w:val="2"/>
          <w:sz w:val="24"/>
          <w:szCs w:val="28"/>
          <w:lang w:val="en-US" w:eastAsia="zh-CN" w:bidi="ar-SA"/>
        </w:rPr>
        <w:fldChar w:fldCharType="end"/>
      </w:r>
      <w:r>
        <w:rPr>
          <w:rFonts w:ascii="宋体" w:cs="宋体" w:hAnsi="宋体" w:hint="eastAsia"/>
          <w:b w:val="0"/>
          <w:bCs w:val="0"/>
          <w:sz w:val="24"/>
          <w:szCs w:val="24"/>
          <w:lang w:val="en-US" w:eastAsia="zh-CN"/>
        </w:rPr>
        <w:t>0</w:t>
      </w:r>
    </w:p>
    <w:p>
      <w:pPr>
        <w:pStyle w:val="55"/>
        <w:keepNext w:val="0"/>
        <w:keepLines w:val="0"/>
        <w:pageBreakBefore w:val="0"/>
        <w:tabs>
          <w:tab w:val="right" w:leader="dot" w:pos="8306"/>
        </w:tabs>
        <w:kinsoku/>
        <w:wordWrap/>
        <w:overflowPunct/>
        <w:topLinePunct w:val="0"/>
        <w:autoSpaceDE/>
        <w:autoSpaceDN/>
        <w:bidi w:val="0"/>
        <w:spacing w:line="360" w:lineRule="auto"/>
        <w:textAlignment w:val="auto"/>
        <w:rPr>
          <w:rFonts w:ascii="Times New Roman" w:eastAsia="宋体" w:cs="Times New Roman" w:hAnsi="Times New Roman"/>
          <w:b w:val="0"/>
          <w:bCs w:val="0"/>
          <w:kern w:val="2"/>
          <w:sz w:val="24"/>
          <w:szCs w:val="24"/>
          <w:lang w:val="en-US" w:eastAsia="zh-CN" w:bidi="ar-SA"/>
        </w:rPr>
      </w:pPr>
      <w:r>
        <w:rPr>
          <w:rFonts w:ascii="仿宋" w:eastAsia="仿宋" w:cs="Times New Roman" w:hAnsi="仿宋" w:hint="eastAsia"/>
          <w:b w:val="0"/>
          <w:bCs w:val="0"/>
          <w:kern w:val="2"/>
          <w:sz w:val="24"/>
          <w:szCs w:val="28"/>
          <w:lang w:val="en-US" w:eastAsia="zh-CN" w:bidi="ar-SA"/>
        </w:rPr>
        <w:fldChar w:fldCharType="begin"/>
      </w:r>
      <w:r>
        <w:instrText>HYPERLINK  \l "_Toc32042"</w:instrText>
      </w:r>
      <w:r>
        <w:rPr>
          <w:rFonts w:ascii="仿宋" w:eastAsia="仿宋" w:cs="Times New Roman" w:hAnsi="仿宋" w:hint="eastAsia"/>
          <w:b w:val="0"/>
          <w:bCs w:val="0"/>
          <w:kern w:val="2"/>
          <w:sz w:val="24"/>
          <w:szCs w:val="28"/>
          <w:lang w:val="en-US" w:eastAsia="zh-CN" w:bidi="ar-SA"/>
        </w:rPr>
        <w:fldChar w:fldCharType="separate"/>
      </w:r>
      <w:r>
        <w:rPr>
          <w:rFonts w:ascii="仿宋" w:eastAsia="仿宋" w:cs="Times New Roman" w:hAnsi="仿宋" w:hint="eastAsia"/>
          <w:b w:val="0"/>
          <w:bCs w:val="0"/>
          <w:kern w:val="2"/>
          <w:sz w:val="24"/>
          <w:szCs w:val="28"/>
          <w:lang w:val="en-US" w:eastAsia="zh-CN" w:bidi="ar-SA"/>
        </w:rPr>
        <w:t>第五部分 附表</w:t>
      </w:r>
      <w:r>
        <w:rPr>
          <w:rFonts w:ascii="宋体" w:eastAsia="宋体" w:cs="宋体" w:hAnsi="宋体" w:hint="eastAsia"/>
          <w:b w:val="0"/>
          <w:bCs w:val="0"/>
          <w:sz w:val="24"/>
          <w:szCs w:val="24"/>
        </w:rPr>
        <w:tab/>
      </w:r>
      <w:r>
        <w:rPr>
          <w:rFonts w:ascii="宋体" w:cs="宋体" w:hAnsi="宋体" w:hint="eastAsia"/>
          <w:b w:val="0"/>
          <w:bCs w:val="0"/>
          <w:sz w:val="24"/>
          <w:szCs w:val="24"/>
          <w:lang w:val="en-US" w:eastAsia="zh-CN"/>
        </w:rPr>
        <w:t>4</w:t>
      </w:r>
      <w:r>
        <w:rPr>
          <w:rFonts w:ascii="仿宋" w:eastAsia="仿宋" w:cs="Times New Roman" w:hAnsi="仿宋" w:hint="eastAsia"/>
          <w:b w:val="0"/>
          <w:bCs w:val="0"/>
          <w:kern w:val="2"/>
          <w:sz w:val="24"/>
          <w:szCs w:val="28"/>
          <w:lang w:val="en-US" w:eastAsia="zh-CN" w:bidi="ar-SA"/>
        </w:rPr>
        <w:fldChar w:fldCharType="end"/>
      </w:r>
      <w:r>
        <w:rPr>
          <w:rFonts w:ascii="宋体" w:cs="宋体" w:hAnsi="宋体" w:hint="eastAsia"/>
          <w:b w:val="0"/>
          <w:bCs w:val="0"/>
          <w:sz w:val="24"/>
          <w:szCs w:val="24"/>
          <w:lang w:val="en-US" w:eastAsia="zh-CN"/>
        </w:rPr>
        <w:t>3</w:t>
      </w: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Times New Roman" w:eastAsia="宋体" w:cs="Times New Roman" w:hAnsi="Times New Roman"/>
          <w:b w:val="0"/>
          <w:bCs w:val="0"/>
          <w:kern w:val="2"/>
          <w:sz w:val="24"/>
          <w:szCs w:val="24"/>
          <w:lang w:val="en-US" w:eastAsia="zh-CN" w:bidi="ar-SA"/>
        </w:rPr>
      </w:pPr>
      <w:r>
        <w:rPr>
          <w:rFonts w:ascii="Times New Roman" w:eastAsia="宋体" w:cs="Times New Roman" w:hAnsi="Times New Roman" w:hint="eastAsia"/>
          <w:b w:val="0"/>
          <w:bCs w:val="0"/>
          <w:kern w:val="2"/>
          <w:sz w:val="24"/>
          <w:szCs w:val="24"/>
          <w:lang w:val="en-US" w:eastAsia="zh-CN" w:bidi="ar-SA"/>
        </w:rPr>
        <w:fldChar w:fldCharType="begin"/>
      </w:r>
      <w:r>
        <w:instrText>HYPERLINK  \l "_Toc32729"</w:instrText>
      </w:r>
      <w:r>
        <w:rPr>
          <w:rFonts w:ascii="Times New Roman" w:eastAsia="宋体" w:cs="Times New Roman" w:hAnsi="Times New Roman" w:hint="eastAsia"/>
          <w:b w:val="0"/>
          <w:bCs w:val="0"/>
          <w:kern w:val="2"/>
          <w:sz w:val="24"/>
          <w:szCs w:val="24"/>
          <w:lang w:val="en-US" w:eastAsia="zh-CN" w:bidi="ar-SA"/>
        </w:rPr>
        <w:fldChar w:fldCharType="separate"/>
      </w:r>
      <w:r>
        <w:rPr>
          <w:rFonts w:ascii="Times New Roman" w:eastAsia="宋体" w:cs="Times New Roman" w:hAnsi="Times New Roman" w:hint="eastAsia"/>
          <w:b w:val="0"/>
          <w:bCs w:val="0"/>
          <w:kern w:val="2"/>
          <w:sz w:val="24"/>
          <w:szCs w:val="24"/>
          <w:lang w:val="en-US" w:eastAsia="zh-CN" w:bidi="ar-SA"/>
        </w:rPr>
        <w:t>二、收入决算表</w:t>
        <w:tab/>
      </w:r>
      <w:r>
        <w:rPr>
          <w:rFonts w:ascii="Times New Roman" w:eastAsia="宋体" w:cs="Times New Roman" w:hAnsi="Times New Roman" w:hint="eastAsia"/>
          <w:b w:val="0"/>
          <w:bCs w:val="0"/>
          <w:kern w:val="2"/>
          <w:sz w:val="24"/>
          <w:szCs w:val="24"/>
          <w:lang w:val="en-US" w:eastAsia="zh-CN" w:bidi="ar-SA"/>
        </w:rPr>
        <w:fldChar w:fldCharType="begin"/>
      </w:r>
      <w:r>
        <w:rPr>
          <w:rFonts w:ascii="Times New Roman" w:eastAsia="宋体" w:cs="Times New Roman" w:hAnsi="Times New Roman" w:hint="eastAsia"/>
          <w:b w:val="0"/>
          <w:bCs w:val="0"/>
          <w:kern w:val="2"/>
          <w:sz w:val="24"/>
          <w:szCs w:val="24"/>
          <w:lang w:val="en-US" w:eastAsia="zh-CN" w:bidi="ar-SA"/>
        </w:rPr>
        <w:instrText xml:space="preserve"> PAGEREF _Toc32729 </w:instrText>
      </w:r>
      <w:r>
        <w:rPr>
          <w:rFonts w:ascii="Times New Roman" w:eastAsia="宋体" w:cs="Times New Roman" w:hAnsi="Times New Roman" w:hint="eastAsia"/>
          <w:b w:val="0"/>
          <w:bCs w:val="0"/>
          <w:kern w:val="2"/>
          <w:sz w:val="24"/>
          <w:szCs w:val="24"/>
          <w:lang w:val="en-US" w:eastAsia="zh-CN" w:bidi="ar-SA"/>
        </w:rPr>
        <w:fldChar w:fldCharType="separate"/>
      </w:r>
      <w:r>
        <w:rPr>
          <w:rFonts w:ascii="Times New Roman" w:eastAsia="宋体" w:cs="Times New Roman" w:hAnsi="Times New Roman" w:hint="eastAsia"/>
          <w:b w:val="0"/>
          <w:bCs w:val="0"/>
          <w:kern w:val="2"/>
          <w:sz w:val="24"/>
          <w:szCs w:val="24"/>
          <w:lang w:val="en-US" w:eastAsia="zh-CN" w:bidi="ar-SA"/>
        </w:rPr>
        <w:t>4</w:t>
      </w:r>
      <w:r>
        <w:rPr>
          <w:rFonts w:ascii="Times New Roman" w:eastAsia="宋体" w:cs="Times New Roman" w:hAnsi="Times New Roman" w:hint="eastAsia"/>
          <w:b w:val="0"/>
          <w:bCs w:val="0"/>
          <w:kern w:val="2"/>
          <w:sz w:val="24"/>
          <w:szCs w:val="24"/>
          <w:lang w:val="en-US" w:eastAsia="zh-CN" w:bidi="ar-SA"/>
        </w:rPr>
        <w:fldChar w:fldCharType="end"/>
      </w:r>
      <w:r>
        <w:rPr>
          <w:rFonts w:ascii="Times New Roman" w:eastAsia="宋体" w:cs="Times New Roman" w:hAnsi="Times New Roman" w:hint="eastAsia"/>
          <w:b w:val="0"/>
          <w:bCs w:val="0"/>
          <w:kern w:val="2"/>
          <w:sz w:val="24"/>
          <w:szCs w:val="24"/>
          <w:lang w:val="en-US" w:eastAsia="zh-CN" w:bidi="ar-SA"/>
        </w:rPr>
        <w:fldChar w:fldCharType="end"/>
      </w:r>
      <w:r>
        <w:rPr>
          <w:rFonts w:cs="Times New Roman" w:hint="eastAsia"/>
          <w:b w:val="0"/>
          <w:bCs w:val="0"/>
          <w:kern w:val="2"/>
          <w:sz w:val="24"/>
          <w:szCs w:val="24"/>
          <w:lang w:val="en-US" w:eastAsia="zh-CN" w:bidi="ar-SA"/>
        </w:rPr>
        <w:t>3</w:t>
      </w: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Times New Roman" w:eastAsia="宋体" w:cs="Times New Roman" w:hAnsi="Times New Roman"/>
          <w:b w:val="0"/>
          <w:bCs w:val="0"/>
          <w:kern w:val="2"/>
          <w:sz w:val="24"/>
          <w:szCs w:val="24"/>
          <w:lang w:val="en-US" w:eastAsia="zh-CN" w:bidi="ar-SA"/>
        </w:rPr>
      </w:pPr>
      <w:r>
        <w:rPr>
          <w:rFonts w:ascii="Times New Roman" w:eastAsia="宋体" w:cs="Times New Roman" w:hAnsi="Times New Roman" w:hint="eastAsia"/>
          <w:b w:val="0"/>
          <w:bCs w:val="0"/>
          <w:kern w:val="2"/>
          <w:sz w:val="24"/>
          <w:szCs w:val="24"/>
          <w:lang w:val="en-US" w:eastAsia="zh-CN" w:bidi="ar-SA"/>
        </w:rPr>
        <w:fldChar w:fldCharType="begin"/>
      </w:r>
      <w:r>
        <w:instrText>HYPERLINK  \l "_Toc11906"</w:instrText>
      </w:r>
      <w:r>
        <w:rPr>
          <w:rFonts w:ascii="Times New Roman" w:eastAsia="宋体" w:cs="Times New Roman" w:hAnsi="Times New Roman" w:hint="eastAsia"/>
          <w:b w:val="0"/>
          <w:bCs w:val="0"/>
          <w:kern w:val="2"/>
          <w:sz w:val="24"/>
          <w:szCs w:val="24"/>
          <w:lang w:val="en-US" w:eastAsia="zh-CN" w:bidi="ar-SA"/>
        </w:rPr>
        <w:fldChar w:fldCharType="separate"/>
      </w:r>
      <w:r>
        <w:rPr>
          <w:rFonts w:ascii="Times New Roman" w:eastAsia="宋体" w:cs="Times New Roman" w:hAnsi="Times New Roman" w:hint="eastAsia"/>
          <w:b w:val="0"/>
          <w:bCs w:val="0"/>
          <w:kern w:val="2"/>
          <w:sz w:val="24"/>
          <w:szCs w:val="24"/>
          <w:lang w:val="en-US" w:eastAsia="zh-CN" w:bidi="ar-SA"/>
        </w:rPr>
        <w:t>三、支出决算表</w:t>
        <w:tab/>
      </w:r>
      <w:r>
        <w:rPr>
          <w:rFonts w:ascii="Times New Roman" w:eastAsia="宋体" w:cs="Times New Roman" w:hAnsi="Times New Roman" w:hint="eastAsia"/>
          <w:b w:val="0"/>
          <w:bCs w:val="0"/>
          <w:kern w:val="2"/>
          <w:sz w:val="24"/>
          <w:szCs w:val="24"/>
          <w:lang w:val="en-US" w:eastAsia="zh-CN" w:bidi="ar-SA"/>
        </w:rPr>
        <w:fldChar w:fldCharType="begin"/>
      </w:r>
      <w:r>
        <w:rPr>
          <w:rFonts w:ascii="Times New Roman" w:eastAsia="宋体" w:cs="Times New Roman" w:hAnsi="Times New Roman" w:hint="eastAsia"/>
          <w:b w:val="0"/>
          <w:bCs w:val="0"/>
          <w:kern w:val="2"/>
          <w:sz w:val="24"/>
          <w:szCs w:val="24"/>
          <w:lang w:val="en-US" w:eastAsia="zh-CN" w:bidi="ar-SA"/>
        </w:rPr>
        <w:instrText xml:space="preserve"> PAGEREF _Toc11906 </w:instrText>
      </w:r>
      <w:r>
        <w:rPr>
          <w:rFonts w:ascii="Times New Roman" w:eastAsia="宋体" w:cs="Times New Roman" w:hAnsi="Times New Roman" w:hint="eastAsia"/>
          <w:b w:val="0"/>
          <w:bCs w:val="0"/>
          <w:kern w:val="2"/>
          <w:sz w:val="24"/>
          <w:szCs w:val="24"/>
          <w:lang w:val="en-US" w:eastAsia="zh-CN" w:bidi="ar-SA"/>
        </w:rPr>
        <w:fldChar w:fldCharType="separate"/>
      </w:r>
      <w:r>
        <w:rPr>
          <w:rFonts w:ascii="Times New Roman" w:eastAsia="宋体" w:cs="Times New Roman" w:hAnsi="Times New Roman" w:hint="eastAsia"/>
          <w:b w:val="0"/>
          <w:bCs w:val="0"/>
          <w:kern w:val="2"/>
          <w:sz w:val="24"/>
          <w:szCs w:val="24"/>
          <w:lang w:val="en-US" w:eastAsia="zh-CN" w:bidi="ar-SA"/>
        </w:rPr>
        <w:t>4</w:t>
      </w:r>
      <w:r>
        <w:rPr>
          <w:rFonts w:ascii="Times New Roman" w:eastAsia="宋体" w:cs="Times New Roman" w:hAnsi="Times New Roman" w:hint="eastAsia"/>
          <w:b w:val="0"/>
          <w:bCs w:val="0"/>
          <w:kern w:val="2"/>
          <w:sz w:val="24"/>
          <w:szCs w:val="24"/>
          <w:lang w:val="en-US" w:eastAsia="zh-CN" w:bidi="ar-SA"/>
        </w:rPr>
        <w:fldChar w:fldCharType="end"/>
      </w:r>
      <w:r>
        <w:rPr>
          <w:rFonts w:ascii="Times New Roman" w:eastAsia="宋体" w:cs="Times New Roman" w:hAnsi="Times New Roman" w:hint="eastAsia"/>
          <w:b w:val="0"/>
          <w:bCs w:val="0"/>
          <w:kern w:val="2"/>
          <w:sz w:val="24"/>
          <w:szCs w:val="24"/>
          <w:lang w:val="en-US" w:eastAsia="zh-CN" w:bidi="ar-SA"/>
        </w:rPr>
        <w:fldChar w:fldCharType="end"/>
      </w:r>
      <w:r>
        <w:rPr>
          <w:rFonts w:cs="Times New Roman" w:hint="eastAsia"/>
          <w:b w:val="0"/>
          <w:bCs w:val="0"/>
          <w:kern w:val="2"/>
          <w:sz w:val="24"/>
          <w:szCs w:val="24"/>
          <w:lang w:val="en-US" w:eastAsia="zh-CN" w:bidi="ar-SA"/>
        </w:rPr>
        <w:t>3</w:t>
      </w: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cs="Times New Roman" w:hint="eastAsia"/>
          <w:b w:val="0"/>
          <w:bCs w:val="0"/>
          <w:kern w:val="2"/>
          <w:sz w:val="24"/>
          <w:szCs w:val="24"/>
          <w:lang w:val="en-US" w:eastAsia="zh-CN" w:bidi="ar-SA"/>
        </w:rPr>
      </w:pPr>
      <w:r>
        <w:rPr>
          <w:rFonts w:ascii="Times New Roman" w:eastAsia="宋体" w:cs="Times New Roman" w:hAnsi="Times New Roman" w:hint="eastAsia"/>
          <w:b w:val="0"/>
          <w:bCs w:val="0"/>
          <w:kern w:val="2"/>
          <w:sz w:val="24"/>
          <w:szCs w:val="24"/>
          <w:lang w:val="en-US" w:eastAsia="zh-CN" w:bidi="ar-SA"/>
        </w:rPr>
        <w:fldChar w:fldCharType="begin"/>
      </w:r>
      <w:r>
        <w:instrText>HYPERLINK  \l "_Toc555"</w:instrText>
      </w:r>
      <w:r>
        <w:rPr>
          <w:rFonts w:ascii="Times New Roman" w:eastAsia="宋体" w:cs="Times New Roman" w:hAnsi="Times New Roman" w:hint="eastAsia"/>
          <w:b w:val="0"/>
          <w:bCs w:val="0"/>
          <w:kern w:val="2"/>
          <w:sz w:val="24"/>
          <w:szCs w:val="24"/>
          <w:lang w:val="en-US" w:eastAsia="zh-CN" w:bidi="ar-SA"/>
        </w:rPr>
        <w:fldChar w:fldCharType="separate"/>
      </w:r>
      <w:r>
        <w:rPr>
          <w:rFonts w:ascii="Times New Roman" w:eastAsia="宋体" w:cs="Times New Roman" w:hAnsi="Times New Roman" w:hint="eastAsia"/>
          <w:b w:val="0"/>
          <w:bCs w:val="0"/>
          <w:kern w:val="2"/>
          <w:sz w:val="24"/>
          <w:szCs w:val="24"/>
          <w:lang w:val="en-US" w:eastAsia="zh-CN" w:bidi="ar-SA"/>
        </w:rPr>
        <w:t>四、财政拨款收入支出决算总表</w:t>
        <w:tab/>
      </w:r>
      <w:r>
        <w:rPr>
          <w:rFonts w:ascii="Times New Roman" w:eastAsia="宋体" w:cs="Times New Roman" w:hAnsi="Times New Roman" w:hint="eastAsia"/>
          <w:b w:val="0"/>
          <w:bCs w:val="0"/>
          <w:kern w:val="2"/>
          <w:sz w:val="24"/>
          <w:szCs w:val="24"/>
          <w:lang w:val="en-US" w:eastAsia="zh-CN" w:bidi="ar-SA"/>
        </w:rPr>
        <w:fldChar w:fldCharType="begin"/>
      </w:r>
      <w:r>
        <w:rPr>
          <w:rFonts w:ascii="Times New Roman" w:eastAsia="宋体" w:cs="Times New Roman" w:hAnsi="Times New Roman" w:hint="eastAsia"/>
          <w:b w:val="0"/>
          <w:bCs w:val="0"/>
          <w:kern w:val="2"/>
          <w:sz w:val="24"/>
          <w:szCs w:val="24"/>
          <w:lang w:val="en-US" w:eastAsia="zh-CN" w:bidi="ar-SA"/>
        </w:rPr>
        <w:instrText xml:space="preserve"> PAGEREF _Toc555 </w:instrText>
      </w:r>
      <w:r>
        <w:rPr>
          <w:rFonts w:ascii="Times New Roman" w:eastAsia="宋体" w:cs="Times New Roman" w:hAnsi="Times New Roman" w:hint="eastAsia"/>
          <w:b w:val="0"/>
          <w:bCs w:val="0"/>
          <w:kern w:val="2"/>
          <w:sz w:val="24"/>
          <w:szCs w:val="24"/>
          <w:lang w:val="en-US" w:eastAsia="zh-CN" w:bidi="ar-SA"/>
        </w:rPr>
        <w:fldChar w:fldCharType="separate"/>
      </w:r>
      <w:r>
        <w:rPr>
          <w:rFonts w:ascii="Times New Roman" w:eastAsia="宋体" w:cs="Times New Roman" w:hAnsi="Times New Roman" w:hint="eastAsia"/>
          <w:b w:val="0"/>
          <w:bCs w:val="0"/>
          <w:kern w:val="2"/>
          <w:sz w:val="24"/>
          <w:szCs w:val="24"/>
          <w:lang w:val="en-US" w:eastAsia="zh-CN" w:bidi="ar-SA"/>
        </w:rPr>
        <w:t>4</w:t>
      </w:r>
      <w:r>
        <w:rPr>
          <w:rFonts w:ascii="Times New Roman" w:eastAsia="宋体" w:cs="Times New Roman" w:hAnsi="Times New Roman" w:hint="eastAsia"/>
          <w:b w:val="0"/>
          <w:bCs w:val="0"/>
          <w:kern w:val="2"/>
          <w:sz w:val="24"/>
          <w:szCs w:val="24"/>
          <w:lang w:val="en-US" w:eastAsia="zh-CN" w:bidi="ar-SA"/>
        </w:rPr>
        <w:fldChar w:fldCharType="end"/>
      </w:r>
      <w:r>
        <w:rPr>
          <w:rFonts w:ascii="Times New Roman" w:eastAsia="宋体" w:cs="Times New Roman" w:hAnsi="Times New Roman" w:hint="eastAsia"/>
          <w:b w:val="0"/>
          <w:bCs w:val="0"/>
          <w:kern w:val="2"/>
          <w:sz w:val="24"/>
          <w:szCs w:val="24"/>
          <w:lang w:val="en-US" w:eastAsia="zh-CN" w:bidi="ar-SA"/>
        </w:rPr>
        <w:fldChar w:fldCharType="end"/>
      </w:r>
      <w:r>
        <w:rPr>
          <w:rFonts w:cs="Times New Roman" w:hint="eastAsia"/>
          <w:b w:val="0"/>
          <w:bCs w:val="0"/>
          <w:kern w:val="2"/>
          <w:sz w:val="24"/>
          <w:szCs w:val="24"/>
          <w:lang w:val="en-US" w:eastAsia="zh-CN" w:bidi="ar-SA"/>
        </w:rPr>
        <w:t>3</w:t>
      </w: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Times New Roman" w:eastAsia="宋体" w:cs="Times New Roman" w:hAnsi="Times New Roman"/>
          <w:b w:val="0"/>
          <w:bCs w:val="0"/>
          <w:kern w:val="2"/>
          <w:sz w:val="24"/>
          <w:szCs w:val="24"/>
          <w:lang w:val="en-US" w:eastAsia="zh-CN" w:bidi="ar-SA"/>
        </w:rPr>
      </w:pPr>
      <w:r>
        <w:rPr>
          <w:rFonts w:ascii="Times New Roman" w:eastAsia="宋体" w:cs="Times New Roman" w:hAnsi="Times New Roman" w:hint="eastAsia"/>
          <w:b w:val="0"/>
          <w:bCs w:val="0"/>
          <w:kern w:val="2"/>
          <w:sz w:val="24"/>
          <w:szCs w:val="24"/>
          <w:lang w:val="en-US" w:eastAsia="zh-CN" w:bidi="ar-SA"/>
        </w:rPr>
        <w:fldChar w:fldCharType="begin"/>
      </w:r>
      <w:r>
        <w:instrText>HYPERLINK  \l "_Toc12081"</w:instrText>
      </w:r>
      <w:r>
        <w:rPr>
          <w:rFonts w:ascii="Times New Roman" w:eastAsia="宋体" w:cs="Times New Roman" w:hAnsi="Times New Roman" w:hint="eastAsia"/>
          <w:b w:val="0"/>
          <w:bCs w:val="0"/>
          <w:kern w:val="2"/>
          <w:sz w:val="24"/>
          <w:szCs w:val="24"/>
          <w:lang w:val="en-US" w:eastAsia="zh-CN" w:bidi="ar-SA"/>
        </w:rPr>
        <w:fldChar w:fldCharType="separate"/>
      </w:r>
      <w:r>
        <w:rPr>
          <w:rFonts w:ascii="Times New Roman" w:eastAsia="宋体" w:cs="Times New Roman" w:hAnsi="Times New Roman" w:hint="eastAsia"/>
          <w:b w:val="0"/>
          <w:bCs w:val="0"/>
          <w:kern w:val="2"/>
          <w:sz w:val="24"/>
          <w:szCs w:val="24"/>
          <w:lang w:val="en-US" w:eastAsia="zh-CN" w:bidi="ar-SA"/>
        </w:rPr>
        <w:t>五、财政拨款支出决算明细表</w:t>
        <w:tab/>
      </w:r>
      <w:r>
        <w:rPr>
          <w:rFonts w:ascii="Times New Roman" w:eastAsia="宋体" w:cs="Times New Roman" w:hAnsi="Times New Roman" w:hint="eastAsia"/>
          <w:b w:val="0"/>
          <w:bCs w:val="0"/>
          <w:kern w:val="2"/>
          <w:sz w:val="24"/>
          <w:szCs w:val="24"/>
          <w:lang w:val="en-US" w:eastAsia="zh-CN" w:bidi="ar-SA"/>
        </w:rPr>
        <w:fldChar w:fldCharType="begin"/>
      </w:r>
      <w:r>
        <w:rPr>
          <w:rFonts w:ascii="Times New Roman" w:eastAsia="宋体" w:cs="Times New Roman" w:hAnsi="Times New Roman" w:hint="eastAsia"/>
          <w:b w:val="0"/>
          <w:bCs w:val="0"/>
          <w:kern w:val="2"/>
          <w:sz w:val="24"/>
          <w:szCs w:val="24"/>
          <w:lang w:val="en-US" w:eastAsia="zh-CN" w:bidi="ar-SA"/>
        </w:rPr>
        <w:instrText xml:space="preserve"> PAGEREF _Toc12081 </w:instrText>
      </w:r>
      <w:r>
        <w:rPr>
          <w:rFonts w:ascii="Times New Roman" w:eastAsia="宋体" w:cs="Times New Roman" w:hAnsi="Times New Roman" w:hint="eastAsia"/>
          <w:b w:val="0"/>
          <w:bCs w:val="0"/>
          <w:kern w:val="2"/>
          <w:sz w:val="24"/>
          <w:szCs w:val="24"/>
          <w:lang w:val="en-US" w:eastAsia="zh-CN" w:bidi="ar-SA"/>
        </w:rPr>
        <w:fldChar w:fldCharType="separate"/>
      </w:r>
      <w:r>
        <w:rPr>
          <w:rFonts w:ascii="Times New Roman" w:eastAsia="宋体" w:cs="Times New Roman" w:hAnsi="Times New Roman" w:hint="eastAsia"/>
          <w:b w:val="0"/>
          <w:bCs w:val="0"/>
          <w:kern w:val="2"/>
          <w:sz w:val="24"/>
          <w:szCs w:val="24"/>
          <w:lang w:val="en-US" w:eastAsia="zh-CN" w:bidi="ar-SA"/>
        </w:rPr>
        <w:t>4</w:t>
      </w:r>
      <w:r>
        <w:rPr>
          <w:rFonts w:ascii="Times New Roman" w:eastAsia="宋体" w:cs="Times New Roman" w:hAnsi="Times New Roman" w:hint="eastAsia"/>
          <w:b w:val="0"/>
          <w:bCs w:val="0"/>
          <w:kern w:val="2"/>
          <w:sz w:val="24"/>
          <w:szCs w:val="24"/>
          <w:lang w:val="en-US" w:eastAsia="zh-CN" w:bidi="ar-SA"/>
        </w:rPr>
        <w:fldChar w:fldCharType="end"/>
      </w:r>
      <w:r>
        <w:rPr>
          <w:rFonts w:ascii="Times New Roman" w:eastAsia="宋体" w:cs="Times New Roman" w:hAnsi="Times New Roman" w:hint="eastAsia"/>
          <w:b w:val="0"/>
          <w:bCs w:val="0"/>
          <w:kern w:val="2"/>
          <w:sz w:val="24"/>
          <w:szCs w:val="24"/>
          <w:lang w:val="en-US" w:eastAsia="zh-CN" w:bidi="ar-SA"/>
        </w:rPr>
        <w:fldChar w:fldCharType="end"/>
      </w:r>
      <w:r>
        <w:rPr>
          <w:rFonts w:cs="Times New Roman" w:hint="eastAsia"/>
          <w:b w:val="0"/>
          <w:bCs w:val="0"/>
          <w:kern w:val="2"/>
          <w:sz w:val="24"/>
          <w:szCs w:val="24"/>
          <w:lang w:val="en-US" w:eastAsia="zh-CN" w:bidi="ar-SA"/>
        </w:rPr>
        <w:t>3</w:t>
      </w: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Times New Roman" w:eastAsia="宋体" w:cs="Times New Roman" w:hAnsi="Times New Roman"/>
          <w:b w:val="0"/>
          <w:bCs w:val="0"/>
          <w:kern w:val="2"/>
          <w:sz w:val="24"/>
          <w:szCs w:val="24"/>
          <w:lang w:val="en-US" w:eastAsia="zh-CN" w:bidi="ar-SA"/>
        </w:rPr>
      </w:pPr>
      <w:r>
        <w:rPr>
          <w:rFonts w:ascii="Times New Roman" w:eastAsia="宋体" w:cs="Times New Roman" w:hAnsi="Times New Roman" w:hint="eastAsia"/>
          <w:b w:val="0"/>
          <w:bCs w:val="0"/>
          <w:kern w:val="2"/>
          <w:sz w:val="24"/>
          <w:szCs w:val="24"/>
          <w:lang w:val="en-US" w:eastAsia="zh-CN" w:bidi="ar-SA"/>
        </w:rPr>
        <w:fldChar w:fldCharType="begin"/>
      </w:r>
      <w:r>
        <w:instrText>HYPERLINK  \l "_Toc6988"</w:instrText>
      </w:r>
      <w:r>
        <w:rPr>
          <w:rFonts w:ascii="Times New Roman" w:eastAsia="宋体" w:cs="Times New Roman" w:hAnsi="Times New Roman" w:hint="eastAsia"/>
          <w:b w:val="0"/>
          <w:bCs w:val="0"/>
          <w:kern w:val="2"/>
          <w:sz w:val="24"/>
          <w:szCs w:val="24"/>
          <w:lang w:val="en-US" w:eastAsia="zh-CN" w:bidi="ar-SA"/>
        </w:rPr>
        <w:fldChar w:fldCharType="separate"/>
      </w:r>
      <w:r>
        <w:rPr>
          <w:rFonts w:ascii="Times New Roman" w:eastAsia="宋体" w:cs="Times New Roman" w:hAnsi="Times New Roman" w:hint="eastAsia"/>
          <w:b w:val="0"/>
          <w:bCs w:val="0"/>
          <w:kern w:val="2"/>
          <w:sz w:val="24"/>
          <w:szCs w:val="24"/>
          <w:lang w:val="en-US" w:eastAsia="zh-CN" w:bidi="ar-SA"/>
        </w:rPr>
        <w:t>六、一般公共预算财政拨款支出决算表</w:t>
        <w:tab/>
      </w:r>
      <w:r>
        <w:rPr>
          <w:rFonts w:ascii="Times New Roman" w:eastAsia="宋体" w:cs="Times New Roman" w:hAnsi="Times New Roman" w:hint="eastAsia"/>
          <w:b w:val="0"/>
          <w:bCs w:val="0"/>
          <w:kern w:val="2"/>
          <w:sz w:val="24"/>
          <w:szCs w:val="24"/>
          <w:lang w:val="en-US" w:eastAsia="zh-CN" w:bidi="ar-SA"/>
        </w:rPr>
        <w:fldChar w:fldCharType="begin"/>
      </w:r>
      <w:r>
        <w:rPr>
          <w:rFonts w:ascii="Times New Roman" w:eastAsia="宋体" w:cs="Times New Roman" w:hAnsi="Times New Roman" w:hint="eastAsia"/>
          <w:b w:val="0"/>
          <w:bCs w:val="0"/>
          <w:kern w:val="2"/>
          <w:sz w:val="24"/>
          <w:szCs w:val="24"/>
          <w:lang w:val="en-US" w:eastAsia="zh-CN" w:bidi="ar-SA"/>
        </w:rPr>
        <w:instrText xml:space="preserve"> PAGEREF _Toc6988 </w:instrText>
      </w:r>
      <w:r>
        <w:rPr>
          <w:rFonts w:ascii="Times New Roman" w:eastAsia="宋体" w:cs="Times New Roman" w:hAnsi="Times New Roman" w:hint="eastAsia"/>
          <w:b w:val="0"/>
          <w:bCs w:val="0"/>
          <w:kern w:val="2"/>
          <w:sz w:val="24"/>
          <w:szCs w:val="24"/>
          <w:lang w:val="en-US" w:eastAsia="zh-CN" w:bidi="ar-SA"/>
        </w:rPr>
        <w:fldChar w:fldCharType="separate"/>
      </w:r>
      <w:r>
        <w:rPr>
          <w:rFonts w:ascii="Times New Roman" w:eastAsia="宋体" w:cs="Times New Roman" w:hAnsi="Times New Roman" w:hint="eastAsia"/>
          <w:b w:val="0"/>
          <w:bCs w:val="0"/>
          <w:kern w:val="2"/>
          <w:sz w:val="24"/>
          <w:szCs w:val="24"/>
          <w:lang w:val="en-US" w:eastAsia="zh-CN" w:bidi="ar-SA"/>
        </w:rPr>
        <w:t>4</w:t>
      </w:r>
      <w:r>
        <w:rPr>
          <w:rFonts w:ascii="Times New Roman" w:eastAsia="宋体" w:cs="Times New Roman" w:hAnsi="Times New Roman" w:hint="eastAsia"/>
          <w:b w:val="0"/>
          <w:bCs w:val="0"/>
          <w:kern w:val="2"/>
          <w:sz w:val="24"/>
          <w:szCs w:val="24"/>
          <w:lang w:val="en-US" w:eastAsia="zh-CN" w:bidi="ar-SA"/>
        </w:rPr>
        <w:fldChar w:fldCharType="end"/>
      </w:r>
      <w:r>
        <w:rPr>
          <w:rFonts w:ascii="Times New Roman" w:eastAsia="宋体" w:cs="Times New Roman" w:hAnsi="Times New Roman" w:hint="eastAsia"/>
          <w:b w:val="0"/>
          <w:bCs w:val="0"/>
          <w:kern w:val="2"/>
          <w:sz w:val="24"/>
          <w:szCs w:val="24"/>
          <w:lang w:val="en-US" w:eastAsia="zh-CN" w:bidi="ar-SA"/>
        </w:rPr>
        <w:fldChar w:fldCharType="end"/>
      </w:r>
      <w:r>
        <w:rPr>
          <w:rFonts w:cs="Times New Roman" w:hint="eastAsia"/>
          <w:b w:val="0"/>
          <w:bCs w:val="0"/>
          <w:kern w:val="2"/>
          <w:sz w:val="24"/>
          <w:szCs w:val="24"/>
          <w:lang w:val="en-US" w:eastAsia="zh-CN" w:bidi="ar-SA"/>
        </w:rPr>
        <w:t>3</w:t>
      </w: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Times New Roman" w:eastAsia="宋体" w:cs="Times New Roman" w:hAnsi="Times New Roman"/>
          <w:b w:val="0"/>
          <w:bCs w:val="0"/>
          <w:kern w:val="2"/>
          <w:sz w:val="24"/>
          <w:szCs w:val="24"/>
          <w:lang w:val="en-US" w:eastAsia="zh-CN" w:bidi="ar-SA"/>
        </w:rPr>
      </w:pPr>
      <w:r>
        <w:rPr>
          <w:rFonts w:ascii="Times New Roman" w:eastAsia="宋体" w:cs="Times New Roman" w:hAnsi="Times New Roman" w:hint="eastAsia"/>
          <w:b w:val="0"/>
          <w:bCs w:val="0"/>
          <w:kern w:val="2"/>
          <w:sz w:val="24"/>
          <w:szCs w:val="24"/>
          <w:lang w:val="en-US" w:eastAsia="zh-CN" w:bidi="ar-SA"/>
        </w:rPr>
        <w:fldChar w:fldCharType="begin"/>
      </w:r>
      <w:r>
        <w:instrText>HYPERLINK  \l "_Toc31716"</w:instrText>
      </w:r>
      <w:r>
        <w:rPr>
          <w:rFonts w:ascii="Times New Roman" w:eastAsia="宋体" w:cs="Times New Roman" w:hAnsi="Times New Roman" w:hint="eastAsia"/>
          <w:b w:val="0"/>
          <w:bCs w:val="0"/>
          <w:kern w:val="2"/>
          <w:sz w:val="24"/>
          <w:szCs w:val="24"/>
          <w:lang w:val="en-US" w:eastAsia="zh-CN" w:bidi="ar-SA"/>
        </w:rPr>
        <w:fldChar w:fldCharType="separate"/>
      </w:r>
      <w:r>
        <w:rPr>
          <w:rFonts w:ascii="Times New Roman" w:eastAsia="宋体" w:cs="Times New Roman" w:hAnsi="Times New Roman" w:hint="eastAsia"/>
          <w:b w:val="0"/>
          <w:bCs w:val="0"/>
          <w:kern w:val="2"/>
          <w:sz w:val="24"/>
          <w:szCs w:val="24"/>
          <w:lang w:val="en-US" w:eastAsia="zh-CN" w:bidi="ar-SA"/>
        </w:rPr>
        <w:t>七、一般公共预算财政拨款支出决算明细表</w:t>
        <w:tab/>
      </w:r>
      <w:r>
        <w:rPr>
          <w:rFonts w:ascii="Times New Roman" w:eastAsia="宋体" w:cs="Times New Roman" w:hAnsi="Times New Roman" w:hint="eastAsia"/>
          <w:b w:val="0"/>
          <w:bCs w:val="0"/>
          <w:kern w:val="2"/>
          <w:sz w:val="24"/>
          <w:szCs w:val="24"/>
          <w:lang w:val="en-US" w:eastAsia="zh-CN" w:bidi="ar-SA"/>
        </w:rPr>
        <w:fldChar w:fldCharType="begin"/>
      </w:r>
      <w:r>
        <w:rPr>
          <w:rFonts w:ascii="Times New Roman" w:eastAsia="宋体" w:cs="Times New Roman" w:hAnsi="Times New Roman" w:hint="eastAsia"/>
          <w:b w:val="0"/>
          <w:bCs w:val="0"/>
          <w:kern w:val="2"/>
          <w:sz w:val="24"/>
          <w:szCs w:val="24"/>
          <w:lang w:val="en-US" w:eastAsia="zh-CN" w:bidi="ar-SA"/>
        </w:rPr>
        <w:instrText xml:space="preserve"> PAGEREF _Toc31716 </w:instrText>
      </w:r>
      <w:r>
        <w:rPr>
          <w:rFonts w:ascii="Times New Roman" w:eastAsia="宋体" w:cs="Times New Roman" w:hAnsi="Times New Roman" w:hint="eastAsia"/>
          <w:b w:val="0"/>
          <w:bCs w:val="0"/>
          <w:kern w:val="2"/>
          <w:sz w:val="24"/>
          <w:szCs w:val="24"/>
          <w:lang w:val="en-US" w:eastAsia="zh-CN" w:bidi="ar-SA"/>
        </w:rPr>
        <w:fldChar w:fldCharType="separate"/>
      </w:r>
      <w:r>
        <w:rPr>
          <w:rFonts w:ascii="Times New Roman" w:eastAsia="宋体" w:cs="Times New Roman" w:hAnsi="Times New Roman" w:hint="eastAsia"/>
          <w:b w:val="0"/>
          <w:bCs w:val="0"/>
          <w:kern w:val="2"/>
          <w:sz w:val="24"/>
          <w:szCs w:val="24"/>
          <w:lang w:val="en-US" w:eastAsia="zh-CN" w:bidi="ar-SA"/>
        </w:rPr>
        <w:t>4</w:t>
      </w:r>
      <w:r>
        <w:rPr>
          <w:rFonts w:ascii="Times New Roman" w:eastAsia="宋体" w:cs="Times New Roman" w:hAnsi="Times New Roman" w:hint="eastAsia"/>
          <w:b w:val="0"/>
          <w:bCs w:val="0"/>
          <w:kern w:val="2"/>
          <w:sz w:val="24"/>
          <w:szCs w:val="24"/>
          <w:lang w:val="en-US" w:eastAsia="zh-CN" w:bidi="ar-SA"/>
        </w:rPr>
        <w:fldChar w:fldCharType="end"/>
      </w:r>
      <w:r>
        <w:rPr>
          <w:rFonts w:ascii="Times New Roman" w:eastAsia="宋体" w:cs="Times New Roman" w:hAnsi="Times New Roman" w:hint="eastAsia"/>
          <w:b w:val="0"/>
          <w:bCs w:val="0"/>
          <w:kern w:val="2"/>
          <w:sz w:val="24"/>
          <w:szCs w:val="24"/>
          <w:lang w:val="en-US" w:eastAsia="zh-CN" w:bidi="ar-SA"/>
        </w:rPr>
        <w:fldChar w:fldCharType="end"/>
      </w:r>
      <w:r>
        <w:rPr>
          <w:rFonts w:cs="Times New Roman" w:hint="eastAsia"/>
          <w:b w:val="0"/>
          <w:bCs w:val="0"/>
          <w:kern w:val="2"/>
          <w:sz w:val="24"/>
          <w:szCs w:val="24"/>
          <w:lang w:val="en-US" w:eastAsia="zh-CN" w:bidi="ar-SA"/>
        </w:rPr>
        <w:t>3</w:t>
      </w: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Times New Roman" w:eastAsia="宋体" w:cs="Times New Roman" w:hAnsi="Times New Roman"/>
          <w:b w:val="0"/>
          <w:bCs w:val="0"/>
          <w:kern w:val="2"/>
          <w:sz w:val="24"/>
          <w:szCs w:val="24"/>
          <w:lang w:val="en-US" w:eastAsia="zh-CN" w:bidi="ar-SA"/>
        </w:rPr>
      </w:pPr>
      <w:r>
        <w:rPr>
          <w:rFonts w:ascii="Times New Roman" w:eastAsia="宋体" w:cs="Times New Roman" w:hAnsi="Times New Roman" w:hint="eastAsia"/>
          <w:b w:val="0"/>
          <w:bCs w:val="0"/>
          <w:kern w:val="2"/>
          <w:sz w:val="24"/>
          <w:szCs w:val="24"/>
          <w:lang w:val="en-US" w:eastAsia="zh-CN" w:bidi="ar-SA"/>
        </w:rPr>
        <w:fldChar w:fldCharType="begin"/>
      </w:r>
      <w:r>
        <w:instrText>HYPERLINK  \l "_Toc12306"</w:instrText>
      </w:r>
      <w:r>
        <w:rPr>
          <w:rFonts w:ascii="Times New Roman" w:eastAsia="宋体" w:cs="Times New Roman" w:hAnsi="Times New Roman" w:hint="eastAsia"/>
          <w:b w:val="0"/>
          <w:bCs w:val="0"/>
          <w:kern w:val="2"/>
          <w:sz w:val="24"/>
          <w:szCs w:val="24"/>
          <w:lang w:val="en-US" w:eastAsia="zh-CN" w:bidi="ar-SA"/>
        </w:rPr>
        <w:fldChar w:fldCharType="separate"/>
      </w:r>
      <w:r>
        <w:rPr>
          <w:rFonts w:ascii="Times New Roman" w:eastAsia="宋体" w:cs="Times New Roman" w:hAnsi="Times New Roman" w:hint="eastAsia"/>
          <w:b w:val="0"/>
          <w:bCs w:val="0"/>
          <w:kern w:val="2"/>
          <w:sz w:val="24"/>
          <w:szCs w:val="24"/>
          <w:lang w:val="en-US" w:eastAsia="zh-CN" w:bidi="ar-SA"/>
        </w:rPr>
        <w:t>八、一般公共预算财政拨款基本支出决算表</w:t>
        <w:tab/>
      </w:r>
      <w:r>
        <w:rPr>
          <w:rFonts w:ascii="Times New Roman" w:eastAsia="宋体" w:cs="Times New Roman" w:hAnsi="Times New Roman" w:hint="eastAsia"/>
          <w:b w:val="0"/>
          <w:bCs w:val="0"/>
          <w:kern w:val="2"/>
          <w:sz w:val="24"/>
          <w:szCs w:val="24"/>
          <w:lang w:val="en-US" w:eastAsia="zh-CN" w:bidi="ar-SA"/>
        </w:rPr>
        <w:fldChar w:fldCharType="begin"/>
      </w:r>
      <w:r>
        <w:rPr>
          <w:rFonts w:ascii="Times New Roman" w:eastAsia="宋体" w:cs="Times New Roman" w:hAnsi="Times New Roman" w:hint="eastAsia"/>
          <w:b w:val="0"/>
          <w:bCs w:val="0"/>
          <w:kern w:val="2"/>
          <w:sz w:val="24"/>
          <w:szCs w:val="24"/>
          <w:lang w:val="en-US" w:eastAsia="zh-CN" w:bidi="ar-SA"/>
        </w:rPr>
        <w:instrText xml:space="preserve"> PAGEREF _Toc12306 </w:instrText>
      </w:r>
      <w:r>
        <w:rPr>
          <w:rFonts w:ascii="Times New Roman" w:eastAsia="宋体" w:cs="Times New Roman" w:hAnsi="Times New Roman" w:hint="eastAsia"/>
          <w:b w:val="0"/>
          <w:bCs w:val="0"/>
          <w:kern w:val="2"/>
          <w:sz w:val="24"/>
          <w:szCs w:val="24"/>
          <w:lang w:val="en-US" w:eastAsia="zh-CN" w:bidi="ar-SA"/>
        </w:rPr>
        <w:fldChar w:fldCharType="separate"/>
      </w:r>
      <w:r>
        <w:rPr>
          <w:rFonts w:ascii="Times New Roman" w:eastAsia="宋体" w:cs="Times New Roman" w:hAnsi="Times New Roman" w:hint="eastAsia"/>
          <w:b w:val="0"/>
          <w:bCs w:val="0"/>
          <w:kern w:val="2"/>
          <w:sz w:val="24"/>
          <w:szCs w:val="24"/>
          <w:lang w:val="en-US" w:eastAsia="zh-CN" w:bidi="ar-SA"/>
        </w:rPr>
        <w:t>4</w:t>
      </w:r>
      <w:r>
        <w:rPr>
          <w:rFonts w:ascii="Times New Roman" w:eastAsia="宋体" w:cs="Times New Roman" w:hAnsi="Times New Roman" w:hint="eastAsia"/>
          <w:b w:val="0"/>
          <w:bCs w:val="0"/>
          <w:kern w:val="2"/>
          <w:sz w:val="24"/>
          <w:szCs w:val="24"/>
          <w:lang w:val="en-US" w:eastAsia="zh-CN" w:bidi="ar-SA"/>
        </w:rPr>
        <w:fldChar w:fldCharType="end"/>
      </w:r>
      <w:r>
        <w:rPr>
          <w:rFonts w:ascii="Times New Roman" w:eastAsia="宋体" w:cs="Times New Roman" w:hAnsi="Times New Roman" w:hint="eastAsia"/>
          <w:b w:val="0"/>
          <w:bCs w:val="0"/>
          <w:kern w:val="2"/>
          <w:sz w:val="24"/>
          <w:szCs w:val="24"/>
          <w:lang w:val="en-US" w:eastAsia="zh-CN" w:bidi="ar-SA"/>
        </w:rPr>
        <w:fldChar w:fldCharType="end"/>
      </w:r>
      <w:r>
        <w:rPr>
          <w:rFonts w:cs="Times New Roman" w:hint="eastAsia"/>
          <w:b w:val="0"/>
          <w:bCs w:val="0"/>
          <w:kern w:val="2"/>
          <w:sz w:val="24"/>
          <w:szCs w:val="24"/>
          <w:lang w:val="en-US" w:eastAsia="zh-CN" w:bidi="ar-SA"/>
        </w:rPr>
        <w:t>3</w:t>
      </w: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Times New Roman" w:eastAsia="宋体" w:cs="Times New Roman" w:hAnsi="Times New Roman"/>
          <w:b w:val="0"/>
          <w:bCs w:val="0"/>
          <w:kern w:val="2"/>
          <w:sz w:val="24"/>
          <w:szCs w:val="24"/>
          <w:lang w:val="en-US" w:eastAsia="zh-CN" w:bidi="ar-SA"/>
        </w:rPr>
      </w:pPr>
      <w:r>
        <w:rPr>
          <w:rFonts w:ascii="Times New Roman" w:eastAsia="宋体" w:cs="Times New Roman" w:hAnsi="Times New Roman" w:hint="eastAsia"/>
          <w:b w:val="0"/>
          <w:bCs w:val="0"/>
          <w:kern w:val="2"/>
          <w:sz w:val="24"/>
          <w:szCs w:val="24"/>
          <w:lang w:val="en-US" w:eastAsia="zh-CN" w:bidi="ar-SA"/>
        </w:rPr>
        <w:fldChar w:fldCharType="begin"/>
      </w:r>
      <w:r>
        <w:instrText>HYPERLINK  \l "_Toc923"</w:instrText>
      </w:r>
      <w:r>
        <w:rPr>
          <w:rFonts w:ascii="Times New Roman" w:eastAsia="宋体" w:cs="Times New Roman" w:hAnsi="Times New Roman" w:hint="eastAsia"/>
          <w:b w:val="0"/>
          <w:bCs w:val="0"/>
          <w:kern w:val="2"/>
          <w:sz w:val="24"/>
          <w:szCs w:val="24"/>
          <w:lang w:val="en-US" w:eastAsia="zh-CN" w:bidi="ar-SA"/>
        </w:rPr>
        <w:fldChar w:fldCharType="separate"/>
      </w:r>
      <w:r>
        <w:rPr>
          <w:rFonts w:ascii="Times New Roman" w:eastAsia="宋体" w:cs="Times New Roman" w:hAnsi="Times New Roman" w:hint="eastAsia"/>
          <w:b w:val="0"/>
          <w:bCs w:val="0"/>
          <w:kern w:val="2"/>
          <w:sz w:val="24"/>
          <w:szCs w:val="24"/>
          <w:lang w:val="en-US" w:eastAsia="zh-CN" w:bidi="ar-SA"/>
        </w:rPr>
        <w:t>九、一般公共预算财政拨款项目支出决算表</w:t>
        <w:tab/>
        <w:t>4</w:t>
      </w:r>
      <w:r>
        <w:rPr>
          <w:rFonts w:ascii="Times New Roman" w:eastAsia="宋体" w:cs="Times New Roman" w:hAnsi="Times New Roman" w:hint="eastAsia"/>
          <w:b w:val="0"/>
          <w:bCs w:val="0"/>
          <w:kern w:val="2"/>
          <w:sz w:val="24"/>
          <w:szCs w:val="24"/>
          <w:lang w:val="en-US" w:eastAsia="zh-CN" w:bidi="ar-SA"/>
        </w:rPr>
        <w:fldChar w:fldCharType="end"/>
      </w:r>
      <w:r>
        <w:rPr>
          <w:rFonts w:cs="Times New Roman" w:hint="eastAsia"/>
          <w:b w:val="0"/>
          <w:bCs w:val="0"/>
          <w:kern w:val="2"/>
          <w:sz w:val="24"/>
          <w:szCs w:val="24"/>
          <w:lang w:val="en-US" w:eastAsia="zh-CN" w:bidi="ar-SA"/>
        </w:rPr>
        <w:t>3</w:t>
      </w: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Times New Roman" w:eastAsia="宋体" w:cs="Times New Roman" w:hAnsi="Times New Roman"/>
          <w:b w:val="0"/>
          <w:bCs w:val="0"/>
          <w:kern w:val="2"/>
          <w:sz w:val="24"/>
          <w:szCs w:val="24"/>
          <w:lang w:val="en-US" w:eastAsia="zh-CN" w:bidi="ar-SA"/>
        </w:rPr>
      </w:pPr>
      <w:r>
        <w:rPr>
          <w:rFonts w:ascii="Times New Roman" w:eastAsia="宋体" w:cs="Times New Roman" w:hAnsi="Times New Roman" w:hint="eastAsia"/>
          <w:b w:val="0"/>
          <w:bCs w:val="0"/>
          <w:kern w:val="2"/>
          <w:sz w:val="24"/>
          <w:szCs w:val="24"/>
          <w:lang w:val="en-US" w:eastAsia="zh-CN" w:bidi="ar-SA"/>
        </w:rPr>
        <w:fldChar w:fldCharType="begin"/>
      </w:r>
      <w:r>
        <w:instrText>HYPERLINK  \l "_Toc8945"</w:instrText>
      </w:r>
      <w:r>
        <w:rPr>
          <w:rFonts w:ascii="Times New Roman" w:eastAsia="宋体" w:cs="Times New Roman" w:hAnsi="Times New Roman" w:hint="eastAsia"/>
          <w:b w:val="0"/>
          <w:bCs w:val="0"/>
          <w:kern w:val="2"/>
          <w:sz w:val="24"/>
          <w:szCs w:val="24"/>
          <w:lang w:val="en-US" w:eastAsia="zh-CN" w:bidi="ar-SA"/>
        </w:rPr>
        <w:fldChar w:fldCharType="separate"/>
      </w:r>
      <w:r>
        <w:rPr>
          <w:rFonts w:ascii="Times New Roman" w:eastAsia="宋体" w:cs="Times New Roman" w:hAnsi="Times New Roman" w:hint="eastAsia"/>
          <w:b w:val="0"/>
          <w:bCs w:val="0"/>
          <w:kern w:val="2"/>
          <w:sz w:val="24"/>
          <w:szCs w:val="24"/>
          <w:lang w:val="en-US" w:eastAsia="zh-CN" w:bidi="ar-SA"/>
        </w:rPr>
        <w:t>十、政府性基金预算财政拨款收入支出决算表(此表无数据）</w:t>
        <w:tab/>
        <w:t>4</w:t>
      </w:r>
      <w:r>
        <w:rPr>
          <w:rFonts w:ascii="Times New Roman" w:eastAsia="宋体" w:cs="Times New Roman" w:hAnsi="Times New Roman" w:hint="eastAsia"/>
          <w:b w:val="0"/>
          <w:bCs w:val="0"/>
          <w:kern w:val="2"/>
          <w:sz w:val="24"/>
          <w:szCs w:val="24"/>
          <w:lang w:val="en-US" w:eastAsia="zh-CN" w:bidi="ar-SA"/>
        </w:rPr>
        <w:fldChar w:fldCharType="end"/>
      </w:r>
      <w:r>
        <w:rPr>
          <w:rFonts w:cs="Times New Roman" w:hint="eastAsia"/>
          <w:b w:val="0"/>
          <w:bCs w:val="0"/>
          <w:kern w:val="2"/>
          <w:sz w:val="24"/>
          <w:szCs w:val="24"/>
          <w:lang w:val="en-US" w:eastAsia="zh-CN" w:bidi="ar-SA"/>
        </w:rPr>
        <w:t>3</w:t>
      </w: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Times New Roman" w:eastAsia="宋体" w:cs="Times New Roman" w:hAnsi="Times New Roman"/>
          <w:b w:val="0"/>
          <w:bCs w:val="0"/>
          <w:kern w:val="2"/>
          <w:sz w:val="24"/>
          <w:szCs w:val="24"/>
          <w:lang w:val="en-US" w:eastAsia="zh-CN" w:bidi="ar-SA"/>
        </w:rPr>
      </w:pPr>
      <w:r>
        <w:rPr>
          <w:rFonts w:ascii="Times New Roman" w:eastAsia="宋体" w:cs="Times New Roman" w:hAnsi="Times New Roman" w:hint="eastAsia"/>
          <w:b w:val="0"/>
          <w:bCs w:val="0"/>
          <w:kern w:val="2"/>
          <w:sz w:val="24"/>
          <w:szCs w:val="24"/>
          <w:lang w:val="en-US" w:eastAsia="zh-CN" w:bidi="ar-SA"/>
        </w:rPr>
        <w:fldChar w:fldCharType="begin"/>
      </w:r>
      <w:r>
        <w:instrText>HYPERLINK  \l "_Toc30859"</w:instrText>
      </w:r>
      <w:r>
        <w:rPr>
          <w:rFonts w:ascii="Times New Roman" w:eastAsia="宋体" w:cs="Times New Roman" w:hAnsi="Times New Roman" w:hint="eastAsia"/>
          <w:b w:val="0"/>
          <w:bCs w:val="0"/>
          <w:kern w:val="2"/>
          <w:sz w:val="24"/>
          <w:szCs w:val="24"/>
          <w:lang w:val="en-US" w:eastAsia="zh-CN" w:bidi="ar-SA"/>
        </w:rPr>
        <w:fldChar w:fldCharType="separate"/>
      </w:r>
      <w:r>
        <w:rPr>
          <w:rFonts w:ascii="Times New Roman" w:eastAsia="宋体" w:cs="Times New Roman" w:hAnsi="Times New Roman" w:hint="eastAsia"/>
          <w:b w:val="0"/>
          <w:bCs w:val="0"/>
          <w:kern w:val="2"/>
          <w:sz w:val="24"/>
          <w:szCs w:val="24"/>
          <w:lang w:val="en-US" w:eastAsia="zh-CN" w:bidi="ar-SA"/>
        </w:rPr>
        <w:t>十一、国有资本经营预算财政拨款收入支出决算表(此表无数据）</w:t>
        <w:tab/>
        <w:t>4</w:t>
      </w:r>
      <w:r>
        <w:rPr>
          <w:rFonts w:ascii="Times New Roman" w:eastAsia="宋体" w:cs="Times New Roman" w:hAnsi="Times New Roman" w:hint="eastAsia"/>
          <w:b w:val="0"/>
          <w:bCs w:val="0"/>
          <w:kern w:val="2"/>
          <w:sz w:val="24"/>
          <w:szCs w:val="24"/>
          <w:lang w:val="en-US" w:eastAsia="zh-CN" w:bidi="ar-SA"/>
        </w:rPr>
        <w:fldChar w:fldCharType="end"/>
      </w:r>
      <w:r>
        <w:rPr>
          <w:rFonts w:cs="Times New Roman" w:hint="eastAsia"/>
          <w:b w:val="0"/>
          <w:bCs w:val="0"/>
          <w:kern w:val="2"/>
          <w:sz w:val="24"/>
          <w:szCs w:val="24"/>
          <w:lang w:val="en-US" w:eastAsia="zh-CN" w:bidi="ar-SA"/>
        </w:rPr>
        <w:t>3</w:t>
      </w: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Times New Roman" w:eastAsia="宋体" w:cs="Times New Roman" w:hAnsi="Times New Roman"/>
          <w:b w:val="0"/>
          <w:bCs w:val="0"/>
          <w:kern w:val="2"/>
          <w:sz w:val="24"/>
          <w:szCs w:val="24"/>
          <w:lang w:val="en-US" w:eastAsia="zh-CN" w:bidi="ar-SA"/>
        </w:rPr>
      </w:pPr>
      <w:r>
        <w:rPr>
          <w:rFonts w:ascii="Times New Roman" w:eastAsia="宋体" w:cs="Times New Roman" w:hAnsi="Times New Roman" w:hint="eastAsia"/>
          <w:b w:val="0"/>
          <w:bCs w:val="0"/>
          <w:kern w:val="2"/>
          <w:sz w:val="24"/>
          <w:szCs w:val="24"/>
          <w:lang w:val="en-US" w:eastAsia="zh-CN" w:bidi="ar-SA"/>
        </w:rPr>
        <w:fldChar w:fldCharType="begin"/>
      </w:r>
      <w:r>
        <w:instrText>HYPERLINK  \l "_Toc6301"</w:instrText>
      </w:r>
      <w:r>
        <w:rPr>
          <w:rFonts w:ascii="Times New Roman" w:eastAsia="宋体" w:cs="Times New Roman" w:hAnsi="Times New Roman" w:hint="eastAsia"/>
          <w:b w:val="0"/>
          <w:bCs w:val="0"/>
          <w:kern w:val="2"/>
          <w:sz w:val="24"/>
          <w:szCs w:val="24"/>
          <w:lang w:val="en-US" w:eastAsia="zh-CN" w:bidi="ar-SA"/>
        </w:rPr>
        <w:fldChar w:fldCharType="separate"/>
      </w:r>
      <w:r>
        <w:rPr>
          <w:rFonts w:ascii="Times New Roman" w:eastAsia="宋体" w:cs="Times New Roman" w:hAnsi="Times New Roman" w:hint="eastAsia"/>
          <w:b w:val="0"/>
          <w:bCs w:val="0"/>
          <w:kern w:val="2"/>
          <w:sz w:val="24"/>
          <w:szCs w:val="24"/>
          <w:lang w:val="en-US" w:eastAsia="zh-CN" w:bidi="ar-SA"/>
        </w:rPr>
        <w:t>十二、国有资本经营预算财政拨款支出决算表(此表无数据）</w:t>
        <w:tab/>
        <w:t>4</w:t>
      </w:r>
      <w:r>
        <w:rPr>
          <w:rFonts w:ascii="Times New Roman" w:eastAsia="宋体" w:cs="Times New Roman" w:hAnsi="Times New Roman" w:hint="eastAsia"/>
          <w:b w:val="0"/>
          <w:bCs w:val="0"/>
          <w:kern w:val="2"/>
          <w:sz w:val="24"/>
          <w:szCs w:val="24"/>
          <w:lang w:val="en-US" w:eastAsia="zh-CN" w:bidi="ar-SA"/>
        </w:rPr>
        <w:fldChar w:fldCharType="end"/>
      </w:r>
      <w:r>
        <w:rPr>
          <w:rFonts w:cs="Times New Roman" w:hint="eastAsia"/>
          <w:b w:val="0"/>
          <w:bCs w:val="0"/>
          <w:kern w:val="2"/>
          <w:sz w:val="24"/>
          <w:szCs w:val="24"/>
          <w:lang w:val="en-US" w:eastAsia="zh-CN" w:bidi="ar-SA"/>
        </w:rPr>
        <w:t>3</w:t>
      </w: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Times New Roman" w:eastAsia="宋体" w:cs="Times New Roman" w:hAnsi="Times New Roman"/>
          <w:b w:val="0"/>
          <w:bCs w:val="0"/>
          <w:kern w:val="2"/>
          <w:sz w:val="24"/>
          <w:szCs w:val="24"/>
          <w:lang w:val="en-US" w:eastAsia="zh-CN" w:bidi="ar-SA"/>
        </w:rPr>
      </w:pPr>
      <w:r>
        <w:rPr>
          <w:rFonts w:ascii="Times New Roman" w:eastAsia="宋体" w:cs="Times New Roman" w:hAnsi="Times New Roman" w:hint="eastAsia"/>
          <w:b w:val="0"/>
          <w:bCs w:val="0"/>
          <w:kern w:val="2"/>
          <w:sz w:val="24"/>
          <w:szCs w:val="24"/>
          <w:lang w:val="en-US" w:eastAsia="zh-CN" w:bidi="ar-SA"/>
        </w:rPr>
        <w:fldChar w:fldCharType="begin"/>
      </w:r>
      <w:r>
        <w:instrText>HYPERLINK  \l "_Toc25274"</w:instrText>
      </w:r>
      <w:r>
        <w:rPr>
          <w:rFonts w:ascii="Times New Roman" w:eastAsia="宋体" w:cs="Times New Roman" w:hAnsi="Times New Roman" w:hint="eastAsia"/>
          <w:b w:val="0"/>
          <w:bCs w:val="0"/>
          <w:kern w:val="2"/>
          <w:sz w:val="24"/>
          <w:szCs w:val="24"/>
          <w:lang w:val="en-US" w:eastAsia="zh-CN" w:bidi="ar-SA"/>
        </w:rPr>
        <w:fldChar w:fldCharType="separate"/>
      </w:r>
      <w:r>
        <w:rPr>
          <w:rFonts w:ascii="Times New Roman" w:eastAsia="宋体" w:cs="Times New Roman" w:hAnsi="Times New Roman" w:hint="eastAsia"/>
          <w:b w:val="0"/>
          <w:bCs w:val="0"/>
          <w:kern w:val="2"/>
          <w:sz w:val="24"/>
          <w:szCs w:val="24"/>
          <w:lang w:val="en-US" w:eastAsia="zh-CN" w:bidi="ar-SA"/>
        </w:rPr>
        <w:t>十三、财政拨款“三公”经费支出决算表</w:t>
        <w:tab/>
        <w:t>4</w:t>
      </w:r>
      <w:r>
        <w:rPr>
          <w:rFonts w:ascii="Times New Roman" w:eastAsia="宋体" w:cs="Times New Roman" w:hAnsi="Times New Roman" w:hint="eastAsia"/>
          <w:b w:val="0"/>
          <w:bCs w:val="0"/>
          <w:kern w:val="2"/>
          <w:sz w:val="24"/>
          <w:szCs w:val="24"/>
          <w:lang w:val="en-US" w:eastAsia="zh-CN" w:bidi="ar-SA"/>
        </w:rPr>
        <w:fldChar w:fldCharType="end"/>
      </w:r>
      <w:r>
        <w:rPr>
          <w:rFonts w:cs="Times New Roman" w:hint="eastAsia"/>
          <w:b w:val="0"/>
          <w:bCs w:val="0"/>
          <w:kern w:val="2"/>
          <w:sz w:val="24"/>
          <w:szCs w:val="24"/>
          <w:lang w:val="en-US" w:eastAsia="zh-CN" w:bidi="ar-SA"/>
        </w:rPr>
        <w:t>3</w:t>
      </w: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Times New Roman" w:eastAsia="宋体" w:cs="Times New Roman" w:hAnsi="Times New Roman" w:hint="eastAsia"/>
          <w:kern w:val="2"/>
          <w:sz w:val="24"/>
          <w:szCs w:val="24"/>
          <w:lang w:val="en-US" w:eastAsia="zh-CN" w:bidi="ar-SA"/>
        </w:rPr>
      </w:pP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Times New Roman" w:eastAsia="宋体" w:cs="Times New Roman" w:hAnsi="Times New Roman" w:hint="eastAsia"/>
          <w:kern w:val="2"/>
          <w:sz w:val="24"/>
          <w:szCs w:val="24"/>
          <w:lang w:val="en-US" w:eastAsia="zh-CN" w:bidi="ar-SA"/>
        </w:rPr>
      </w:pP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Times New Roman" w:eastAsia="宋体" w:cs="Times New Roman" w:hAnsi="Times New Roman" w:hint="eastAsia"/>
          <w:kern w:val="2"/>
          <w:sz w:val="24"/>
          <w:szCs w:val="24"/>
          <w:lang w:val="en-US" w:eastAsia="zh-CN" w:bidi="ar-SA"/>
        </w:rPr>
      </w:pP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Times New Roman" w:eastAsia="宋体" w:cs="Times New Roman" w:hAnsi="Times New Roman" w:hint="eastAsia"/>
          <w:kern w:val="2"/>
          <w:sz w:val="24"/>
          <w:szCs w:val="24"/>
          <w:lang w:val="en-US" w:eastAsia="zh-CN" w:bidi="ar-SA"/>
        </w:rPr>
      </w:pP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Times New Roman" w:eastAsia="宋体" w:cs="Times New Roman" w:hAnsi="Times New Roman" w:hint="eastAsia"/>
          <w:kern w:val="2"/>
          <w:sz w:val="24"/>
          <w:szCs w:val="24"/>
          <w:lang w:val="en-US" w:eastAsia="zh-CN" w:bidi="ar-SA"/>
        </w:rPr>
      </w:pP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Times New Roman" w:eastAsia="宋体" w:cs="Times New Roman" w:hAnsi="Times New Roman" w:hint="eastAsia"/>
          <w:kern w:val="2"/>
          <w:sz w:val="24"/>
          <w:szCs w:val="24"/>
          <w:lang w:val="en-US" w:eastAsia="zh-CN" w:bidi="ar-SA"/>
        </w:rPr>
      </w:pP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Times New Roman" w:eastAsia="宋体" w:cs="Times New Roman" w:hAnsi="Times New Roman" w:hint="eastAsia"/>
          <w:kern w:val="2"/>
          <w:sz w:val="24"/>
          <w:szCs w:val="24"/>
          <w:lang w:val="en-US" w:eastAsia="zh-CN" w:bidi="ar-SA"/>
        </w:rPr>
      </w:pP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Times New Roman" w:eastAsia="宋体" w:cs="Times New Roman" w:hAnsi="Times New Roman" w:hint="eastAsia"/>
          <w:kern w:val="2"/>
          <w:sz w:val="24"/>
          <w:szCs w:val="24"/>
          <w:lang w:val="en-US" w:eastAsia="zh-CN" w:bidi="ar-SA"/>
        </w:rPr>
      </w:pP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Times New Roman" w:eastAsia="宋体" w:cs="Times New Roman" w:hAnsi="Times New Roman" w:hint="eastAsia"/>
          <w:kern w:val="2"/>
          <w:sz w:val="24"/>
          <w:szCs w:val="24"/>
          <w:lang w:val="en-US" w:eastAsia="zh-CN" w:bidi="ar-SA"/>
        </w:rPr>
      </w:pP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Times New Roman" w:eastAsia="宋体" w:cs="Times New Roman" w:hAnsi="Times New Roman" w:hint="eastAsia"/>
          <w:kern w:val="2"/>
          <w:sz w:val="24"/>
          <w:szCs w:val="24"/>
          <w:lang w:val="en-US" w:eastAsia="zh-CN" w:bidi="ar-SA"/>
        </w:rPr>
      </w:pP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Times New Roman" w:eastAsia="宋体" w:cs="Times New Roman" w:hAnsi="Times New Roman" w:hint="eastAsia"/>
          <w:kern w:val="2"/>
          <w:sz w:val="24"/>
          <w:szCs w:val="24"/>
          <w:lang w:val="en-US" w:eastAsia="zh-CN" w:bidi="ar-SA"/>
        </w:rPr>
      </w:pP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Times New Roman" w:eastAsia="宋体" w:cs="Times New Roman" w:hAnsi="Times New Roman" w:hint="eastAsia"/>
          <w:kern w:val="2"/>
          <w:sz w:val="24"/>
          <w:szCs w:val="24"/>
          <w:lang w:val="en-US" w:eastAsia="zh-CN" w:bidi="ar-SA"/>
        </w:rPr>
      </w:pP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Times New Roman" w:eastAsia="宋体" w:cs="Times New Roman" w:hAnsi="Times New Roman" w:hint="eastAsia"/>
          <w:kern w:val="2"/>
          <w:sz w:val="24"/>
          <w:szCs w:val="24"/>
          <w:lang w:val="en-US" w:eastAsia="zh-CN" w:bidi="ar-SA"/>
        </w:rPr>
      </w:pP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Times New Roman" w:eastAsia="宋体" w:cs="Times New Roman" w:hAnsi="Times New Roman" w:hint="eastAsia"/>
          <w:kern w:val="2"/>
          <w:sz w:val="24"/>
          <w:szCs w:val="24"/>
          <w:lang w:val="en-US" w:eastAsia="zh-CN" w:bidi="ar-SA"/>
        </w:rPr>
      </w:pP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Times New Roman" w:eastAsia="宋体" w:cs="Times New Roman" w:hAnsi="Times New Roman" w:hint="eastAsia"/>
          <w:kern w:val="2"/>
          <w:sz w:val="24"/>
          <w:szCs w:val="24"/>
          <w:lang w:val="en-US" w:eastAsia="zh-CN" w:bidi="ar-SA"/>
        </w:rPr>
      </w:pP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Times New Roman" w:eastAsia="宋体" w:cs="Times New Roman" w:hAnsi="Times New Roman" w:hint="eastAsia"/>
          <w:kern w:val="2"/>
          <w:sz w:val="24"/>
          <w:szCs w:val="24"/>
          <w:lang w:val="en-US" w:eastAsia="zh-CN" w:bidi="ar-SA"/>
        </w:rPr>
      </w:pP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Times New Roman" w:eastAsia="宋体" w:cs="Times New Roman" w:hAnsi="Times New Roman" w:hint="eastAsia"/>
          <w:kern w:val="2"/>
          <w:sz w:val="24"/>
          <w:szCs w:val="24"/>
          <w:lang w:val="en-US" w:eastAsia="zh-CN" w:bidi="ar-SA"/>
        </w:rPr>
      </w:pP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Times New Roman" w:eastAsia="宋体" w:cs="Times New Roman" w:hAnsi="Times New Roman" w:hint="eastAsia"/>
          <w:kern w:val="2"/>
          <w:sz w:val="24"/>
          <w:szCs w:val="24"/>
          <w:lang w:val="en-US" w:eastAsia="zh-CN" w:bidi="ar-SA"/>
        </w:rPr>
      </w:pP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Times New Roman" w:eastAsia="宋体" w:cs="Times New Roman" w:hAnsi="Times New Roman" w:hint="eastAsia"/>
          <w:kern w:val="2"/>
          <w:sz w:val="24"/>
          <w:szCs w:val="24"/>
          <w:lang w:val="en-US" w:eastAsia="zh-CN" w:bidi="ar-SA"/>
        </w:rPr>
      </w:pP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Times New Roman" w:eastAsia="宋体" w:cs="Times New Roman" w:hAnsi="Times New Roman" w:hint="eastAsia"/>
          <w:kern w:val="2"/>
          <w:sz w:val="24"/>
          <w:szCs w:val="24"/>
          <w:lang w:val="en-US" w:eastAsia="zh-CN" w:bidi="ar-SA"/>
        </w:rPr>
      </w:pPr>
    </w:p>
    <w:p>
      <w:pPr>
        <w:pStyle w:val="56"/>
        <w:keepNext w:val="0"/>
        <w:keepLines w:val="0"/>
        <w:pageBreakBefore w:val="0"/>
        <w:tabs>
          <w:tab w:val="right" w:leader="dot" w:pos="8306"/>
        </w:tabs>
        <w:kinsoku/>
        <w:wordWrap/>
        <w:overflowPunct/>
        <w:topLinePunct w:val="0"/>
        <w:autoSpaceDE/>
        <w:autoSpaceDN/>
        <w:bidi w:val="0"/>
        <w:spacing w:line="360" w:lineRule="auto"/>
        <w:textAlignment w:val="auto"/>
        <w:rPr>
          <w:rFonts w:ascii="Times New Roman" w:eastAsia="宋体" w:cs="Times New Roman" w:hAnsi="Times New Roman" w:hint="eastAsia"/>
          <w:kern w:val="2"/>
          <w:sz w:val="24"/>
          <w:szCs w:val="24"/>
          <w:lang w:val="en-US" w:eastAsia="zh-CN" w:bidi="ar-SA"/>
        </w:rPr>
      </w:pPr>
    </w:p>
    <w:p>
      <w:pPr>
        <w:pStyle w:val="1"/>
        <w:jc w:val="center"/>
        <w:rPr>
          <w:rStyle w:val="1Char"/>
          <w:rFonts w:ascii="黑体" w:eastAsia="黑体" w:hAnsi="黑体"/>
          <w:b/>
          <w:bCs w:val="0"/>
        </w:rPr>
      </w:pPr>
      <w:bookmarkStart w:id="20" w:name="_Toc26614"/>
      <w:bookmarkStart w:id="21" w:name="_Toc21124"/>
      <w:r>
        <w:rPr>
          <w:rFonts w:ascii="黑体" w:eastAsia="黑体" w:hAnsi="黑体" w:hint="eastAsia"/>
          <w:b w:val="0"/>
        </w:rPr>
        <w:t xml:space="preserve">第一部分 </w:t>
      </w:r>
      <w:r>
        <w:rPr>
          <w:rStyle w:val="1Char"/>
          <w:rFonts w:ascii="黑体" w:eastAsia="黑体" w:hAnsi="黑体" w:hint="eastAsia"/>
          <w:b w:val="0"/>
          <w:bCs w:val="0"/>
        </w:rPr>
        <w:t>部门概况</w:t>
      </w:r>
      <w:bookmarkEnd w:id="18"/>
      <w:bookmarkEnd w:id="19"/>
      <w:bookmarkEnd w:id="20"/>
      <w:bookmarkEnd w:id="21"/>
    </w:p>
    <w:p>
      <w:pPr>
        <w:widowControl/>
        <w:jc w:val="left"/>
        <w:rPr>
          <w:rFonts w:ascii="黑体" w:eastAsia="黑体"/>
          <w:sz w:val="32"/>
          <w:szCs w:val="32"/>
        </w:rPr>
      </w:pPr>
    </w:p>
    <w:p>
      <w:pPr>
        <w:pStyle w:val="2"/>
        <w:numPr>
          <w:ilvl w:val="0"/>
          <w:numId w:val="1"/>
        </w:numPr>
        <w:rPr>
          <w:rFonts w:ascii="黑体" w:eastAsia="黑体" w:hAnsi="黑体" w:hint="eastAsia"/>
          <w:b w:val="0"/>
        </w:rPr>
      </w:pPr>
      <w:bookmarkStart w:id="22" w:name="_Toc9508"/>
      <w:r>
        <w:rPr>
          <w:rFonts w:ascii="黑体" w:eastAsia="黑体" w:hAnsi="黑体" w:hint="eastAsia"/>
          <w:b w:val="0"/>
        </w:rPr>
        <w:t>部门职责</w:t>
      </w:r>
      <w:bookmarkEnd w:id="22"/>
    </w:p>
    <w:p>
      <w:pPr>
        <w:ind w:firstLineChars="250" w:firstLine="800"/>
        <w:rPr>
          <w:rFonts w:ascii="仿宋" w:eastAsia="仿宋" w:hAnsi="仿宋"/>
          <w:sz w:val="32"/>
          <w:szCs w:val="32"/>
        </w:rPr>
      </w:pPr>
      <w:r>
        <w:rPr>
          <w:rFonts w:ascii="仿宋" w:eastAsia="仿宋" w:hAnsi="仿宋" w:hint="eastAsia"/>
          <w:sz w:val="32"/>
          <w:szCs w:val="32"/>
        </w:rPr>
        <w:t>攀枝花市文学艺术界联合会（以下简称市文联）</w:t>
      </w:r>
      <w:r>
        <w:rPr>
          <w:rFonts w:ascii="仿宋" w:eastAsia="仿宋" w:hAnsi="仿宋"/>
          <w:sz w:val="32"/>
          <w:szCs w:val="32"/>
        </w:rPr>
        <w:t>是中共攀枝花市委领导的，由全市性的文艺家协会、县（区）文学艺术界联合会和全市性产（行）业文学艺术工作者联合会（协会、学会）组成的人民团体，是党和政府联系文艺工作者的桥梁和纽带，是繁荣发展社会主义文艺事业的重要力量。受市委委托，由市委宣传部代管。主要职能是：1.贯彻落实党对文艺工作的方针政策和决策部署，保持和增强政治性、先进性、群众性，强化思想政治引领，对各团体会员、文艺工作者及新文艺组织、新文艺群体开展团结引领、联络协调、服务管理、自律维权工作。团结广大文艺工作者，听取文艺界的意见，反映文艺界的情况，引导广大文艺工作者听党话跟党走。2.组织召开市文联全市代表大会、全市委员会、主席团会议，市级文艺家协会全市代表大会以及市文联系统工作会议。3.组织开展文艺创作、主题文艺活动、文艺志愿服务、展演展示展播等文艺实践活动。组织开展文艺人才教育培训、培养举荐、创作扶贫等工作。引导网络文艺创作生产，促进传统文艺和网络文艺融合发展，指导协调文艺工作者联系服务平台建设。4.负责市文联系统全市性文艺奖项评奖工作。组织开展文艺评论、文艺理论研究、学术交流研讨等活动。5.依法开展文艺领域行业教育、行业自律、行业服务和行业管理工作，开展行风建设和职业道德建设。6.服务党和国家工作大局，推动中华优秀文化走出去，组织我市文艺界开展民间文艺交流合作，组织开展同港澳台地区的文化交流合作。7.组织开展文艺领域侵权纠纷调解、权益保护协调合作、诉求表达处理、法律志愿服务等维权服务工作，维护文艺工作者合法权益。8.依法依章程指导下级文联工作。9.主管市文联所属的文艺报刊。负责对市文联主管的社会组织进行业务指导和监督管理。10.完成市委、市政府交办的其他任务。</w:t>
      </w:r>
    </w:p>
    <w:p>
      <w:pPr>
        <w:pStyle w:val="2"/>
        <w:numPr>
          <w:ilvl w:val="0"/>
          <w:numId w:val="1"/>
        </w:numPr>
        <w:rPr>
          <w:rFonts w:ascii="黑体" w:eastAsia="黑体" w:hAnsi="黑体" w:hint="eastAsia"/>
          <w:b w:val="0"/>
        </w:rPr>
      </w:pPr>
      <w:bookmarkStart w:id="23" w:name="_Toc15377200"/>
      <w:bookmarkStart w:id="24" w:name="_Toc15396601"/>
      <w:bookmarkStart w:id="25" w:name="_Toc23807"/>
      <w:r>
        <w:rPr>
          <w:rFonts w:ascii="黑体" w:eastAsia="黑体" w:hAnsi="黑体" w:hint="eastAsia"/>
          <w:b w:val="0"/>
        </w:rPr>
        <w:t>机构设置</w:t>
      </w:r>
      <w:bookmarkEnd w:id="23"/>
      <w:bookmarkEnd w:id="24"/>
      <w:bookmarkEnd w:id="25"/>
    </w:p>
    <w:p>
      <w:pPr>
        <w:ind w:firstLineChars="250" w:firstLine="800"/>
        <w:rPr>
          <w:rFonts w:ascii="仿宋" w:eastAsia="仿宋" w:hAnsi="仿宋" w:hint="eastAsia"/>
          <w:sz w:val="32"/>
          <w:szCs w:val="32"/>
        </w:rPr>
      </w:pPr>
      <w:r>
        <w:rPr>
          <w:rFonts w:ascii="仿宋" w:eastAsia="仿宋" w:hAnsi="仿宋" w:hint="eastAsia"/>
          <w:sz w:val="32"/>
          <w:szCs w:val="32"/>
          <w:lang w:eastAsia="zh-CN"/>
        </w:rPr>
        <w:t>市文联部门</w:t>
      </w:r>
      <w:r>
        <w:rPr>
          <w:rFonts w:ascii="仿宋" w:eastAsia="仿宋" w:hAnsi="仿宋" w:hint="eastAsia"/>
          <w:sz w:val="32"/>
          <w:szCs w:val="32"/>
        </w:rPr>
        <w:t>下属二级单位</w:t>
      </w:r>
      <w:r>
        <w:rPr>
          <w:rFonts w:ascii="仿宋" w:eastAsia="仿宋" w:hAnsi="仿宋" w:hint="eastAsia"/>
          <w:sz w:val="32"/>
          <w:szCs w:val="32"/>
          <w:lang w:val="en-US" w:eastAsia="zh-CN"/>
        </w:rPr>
        <w:t>3</w:t>
      </w:r>
      <w:r>
        <w:rPr>
          <w:rFonts w:ascii="仿宋" w:eastAsia="仿宋" w:hAnsi="仿宋" w:hint="eastAsia"/>
          <w:sz w:val="32"/>
          <w:szCs w:val="32"/>
        </w:rPr>
        <w:t>个，其中行政单位</w:t>
      </w:r>
      <w:r>
        <w:rPr>
          <w:rFonts w:ascii="仿宋" w:eastAsia="仿宋" w:hAnsi="仿宋" w:hint="eastAsia"/>
          <w:sz w:val="32"/>
          <w:szCs w:val="32"/>
          <w:lang w:val="en-US" w:eastAsia="zh-CN"/>
        </w:rPr>
        <w:t>1</w:t>
      </w:r>
      <w:r>
        <w:rPr>
          <w:rFonts w:ascii="仿宋" w:eastAsia="仿宋" w:hAnsi="仿宋" w:hint="eastAsia"/>
          <w:sz w:val="32"/>
          <w:szCs w:val="32"/>
        </w:rPr>
        <w:t>个，参照公务员法管理的事业单位</w:t>
      </w:r>
      <w:r>
        <w:rPr>
          <w:rFonts w:ascii="仿宋" w:eastAsia="仿宋" w:hAnsi="仿宋" w:hint="eastAsia"/>
          <w:sz w:val="32"/>
          <w:szCs w:val="32"/>
          <w:lang w:val="en-US" w:eastAsia="zh-CN"/>
        </w:rPr>
        <w:t>0</w:t>
      </w:r>
      <w:r>
        <w:rPr>
          <w:rFonts w:ascii="仿宋" w:eastAsia="仿宋" w:hAnsi="仿宋" w:hint="eastAsia"/>
          <w:sz w:val="32"/>
          <w:szCs w:val="32"/>
        </w:rPr>
        <w:t>个，其他事业单位</w:t>
      </w:r>
      <w:r>
        <w:rPr>
          <w:rFonts w:ascii="仿宋" w:eastAsia="仿宋" w:hAnsi="仿宋" w:hint="eastAsia"/>
          <w:sz w:val="32"/>
          <w:szCs w:val="32"/>
          <w:lang w:val="en-US" w:eastAsia="zh-CN"/>
        </w:rPr>
        <w:t>2</w:t>
      </w:r>
      <w:r>
        <w:rPr>
          <w:rFonts w:ascii="仿宋" w:eastAsia="仿宋" w:hAnsi="仿宋" w:hint="eastAsia"/>
          <w:sz w:val="32"/>
          <w:szCs w:val="32"/>
        </w:rPr>
        <w:t>个</w:t>
      </w:r>
      <w:r>
        <w:rPr>
          <w:rFonts w:ascii="仿宋" w:eastAsia="仿宋" w:hAnsi="仿宋" w:hint="eastAsia"/>
          <w:sz w:val="32"/>
          <w:szCs w:val="32"/>
          <w:lang w:eastAsia="zh-CN"/>
        </w:rPr>
        <w:t>（其中</w:t>
      </w:r>
      <w:bookmarkStart w:id="26" w:name="_Toc15377203"/>
      <w:r>
        <w:rPr>
          <w:rFonts w:ascii="仿宋" w:eastAsia="仿宋" w:hAnsi="仿宋" w:hint="eastAsia"/>
          <w:sz w:val="32"/>
          <w:szCs w:val="32"/>
        </w:rPr>
        <w:t>攀枝花文学院</w:t>
      </w:r>
      <w:bookmarkEnd w:id="26"/>
      <w:r>
        <w:rPr>
          <w:rFonts w:ascii="仿宋" w:eastAsia="仿宋" w:hAnsi="仿宋" w:hint="eastAsia"/>
          <w:sz w:val="32"/>
          <w:szCs w:val="32"/>
        </w:rPr>
        <w:t>（《攀枝花》杂志社）</w:t>
      </w:r>
      <w:r>
        <w:rPr>
          <w:rFonts w:ascii="仿宋" w:eastAsia="仿宋" w:hAnsi="仿宋" w:hint="eastAsia"/>
          <w:sz w:val="32"/>
          <w:szCs w:val="32"/>
          <w:lang w:eastAsia="zh-CN"/>
        </w:rPr>
        <w:t>、</w:t>
      </w:r>
      <w:r>
        <w:rPr>
          <w:rFonts w:ascii="仿宋" w:eastAsia="仿宋" w:hAnsi="仿宋" w:hint="eastAsia"/>
          <w:sz w:val="32"/>
          <w:szCs w:val="32"/>
        </w:rPr>
        <w:t>攀枝花市书画院（攀枝花市城市雕塑创作室）</w:t>
      </w:r>
      <w:r>
        <w:rPr>
          <w:rFonts w:ascii="仿宋" w:eastAsia="仿宋" w:hAnsi="仿宋" w:hint="eastAsia"/>
          <w:sz w:val="32"/>
          <w:szCs w:val="32"/>
          <w:lang w:eastAsia="zh-CN"/>
        </w:rPr>
        <w:t>为非独立预算单位，其所有收支全部纳入市文联机关的会计核算及预决算编制）</w:t>
      </w:r>
      <w:r>
        <w:rPr>
          <w:rFonts w:ascii="仿宋" w:eastAsia="仿宋" w:hAnsi="仿宋" w:hint="eastAsia"/>
          <w:sz w:val="32"/>
          <w:szCs w:val="32"/>
        </w:rPr>
        <w:t>。</w:t>
      </w:r>
    </w:p>
    <w:p>
      <w:pPr>
        <w:ind w:firstLineChars="250" w:firstLine="800"/>
        <w:rPr>
          <w:rFonts w:ascii="仿宋" w:eastAsia="仿宋" w:hAnsi="仿宋" w:hint="eastAsia"/>
          <w:sz w:val="32"/>
          <w:szCs w:val="32"/>
        </w:rPr>
      </w:pPr>
      <w:r>
        <w:rPr>
          <w:rFonts w:ascii="仿宋" w:eastAsia="仿宋" w:hAnsi="仿宋" w:hint="eastAsia"/>
          <w:sz w:val="32"/>
          <w:szCs w:val="32"/>
        </w:rPr>
        <w:t>纳入</w:t>
      </w:r>
      <w:r>
        <w:rPr>
          <w:rFonts w:ascii="仿宋" w:eastAsia="仿宋" w:hAnsi="仿宋" w:hint="eastAsia"/>
          <w:sz w:val="32"/>
          <w:szCs w:val="32"/>
          <w:lang w:eastAsia="zh-CN"/>
        </w:rPr>
        <w:t>市文联</w:t>
      </w:r>
      <w:r>
        <w:rPr>
          <w:rFonts w:ascii="仿宋" w:eastAsia="仿宋" w:hAnsi="仿宋" w:hint="eastAsia"/>
          <w:sz w:val="32"/>
          <w:szCs w:val="32"/>
        </w:rPr>
        <w:t>2022年度部门决算编制范围的预算单位包括：</w:t>
      </w:r>
    </w:p>
    <w:p>
      <w:pPr>
        <w:ind w:firstLineChars="250" w:firstLine="800"/>
        <w:rPr>
          <w:rFonts w:ascii="仿宋" w:eastAsia="仿宋" w:hAnsi="仿宋"/>
          <w:kern w:val="0"/>
          <w:sz w:val="32"/>
          <w:szCs w:val="32"/>
        </w:rPr>
      </w:pPr>
      <w:r>
        <w:rPr>
          <w:rFonts w:ascii="仿宋" w:eastAsia="仿宋" w:hAnsi="仿宋" w:hint="eastAsia"/>
          <w:sz w:val="32"/>
          <w:szCs w:val="32"/>
          <w:lang w:eastAsia="zh-CN"/>
        </w:rPr>
        <w:t>攀枝花市文学艺术界联合会机关</w:t>
      </w:r>
      <w:r>
        <w:rPr>
          <w:rFonts w:ascii="仿宋" w:eastAsia="仿宋" w:hAnsi="仿宋"/>
          <w:sz w:val="32"/>
          <w:szCs w:val="32"/>
        </w:rPr>
        <w:br w:type="page"/>
      </w:r>
    </w:p>
    <w:p>
      <w:pPr>
        <w:pStyle w:val="1"/>
        <w:ind w:right="440"/>
        <w:jc w:val="center"/>
        <w:rPr>
          <w:rStyle w:val="1Char"/>
          <w:rFonts w:ascii="黑体" w:eastAsia="黑体" w:hAnsi="黑体"/>
          <w:b w:val="0"/>
          <w:bCs/>
        </w:rPr>
      </w:pPr>
      <w:bookmarkStart w:id="27" w:name="_Toc12448"/>
      <w:bookmarkStart w:id="28" w:name="_Toc15396602"/>
      <w:bookmarkStart w:id="29" w:name="_Toc15377204"/>
      <w:bookmarkStart w:id="30" w:name="_Toc17066"/>
      <w:r>
        <w:rPr>
          <w:rFonts w:ascii="黑体" w:eastAsia="黑体" w:hAnsi="黑体" w:hint="eastAsia"/>
          <w:b w:val="0"/>
        </w:rPr>
        <w:t>第二部分 2022年度</w:t>
      </w:r>
      <w:r>
        <w:rPr>
          <w:rStyle w:val="1Char"/>
          <w:rFonts w:ascii="黑体" w:eastAsia="黑体" w:hAnsi="黑体" w:hint="eastAsia"/>
          <w:b w:val="0"/>
          <w:bCs/>
        </w:rPr>
        <w:t>部门决算情况说明</w:t>
      </w:r>
      <w:bookmarkEnd w:id="27"/>
      <w:bookmarkEnd w:id="28"/>
      <w:bookmarkEnd w:id="29"/>
      <w:bookmarkEnd w:id="30"/>
    </w:p>
    <w:p/>
    <w:p>
      <w:pPr>
        <w:pStyle w:val="35"/>
        <w:numPr>
          <w:ilvl w:val="0"/>
          <w:numId w:val="2"/>
        </w:numPr>
        <w:spacing w:line="600" w:lineRule="exact"/>
        <w:ind w:firstLineChars="0"/>
        <w:outlineLvl w:val="1"/>
        <w:rPr>
          <w:rFonts w:ascii="黑体" w:eastAsia="黑体" w:hAnsi="黑体" w:hint="eastAsia"/>
          <w:sz w:val="32"/>
          <w:szCs w:val="32"/>
        </w:rPr>
      </w:pPr>
      <w:bookmarkStart w:id="31" w:name="_Toc15396603"/>
      <w:bookmarkStart w:id="32" w:name="_Toc15377205"/>
      <w:bookmarkStart w:id="33" w:name="_Toc21670"/>
      <w:r>
        <w:rPr>
          <w:rFonts w:ascii="黑体" w:eastAsia="黑体" w:hAnsi="黑体" w:hint="eastAsia"/>
          <w:sz w:val="32"/>
          <w:szCs w:val="32"/>
        </w:rPr>
        <w:t>收入支出决算总体情况说明</w:t>
      </w:r>
      <w:bookmarkEnd w:id="31"/>
      <w:bookmarkEnd w:id="32"/>
      <w:bookmarkEnd w:id="33"/>
    </w:p>
    <w:p>
      <w:pPr>
        <w:spacing w:line="600" w:lineRule="exact"/>
        <w:ind w:firstLineChars="200" w:firstLine="640"/>
        <w:rPr>
          <w:rFonts w:ascii="仿宋" w:eastAsia="仿宋" w:hAnsi="仿宋" w:hint="eastAsia"/>
          <w:sz w:val="32"/>
          <w:szCs w:val="32"/>
          <w:lang w:eastAsia="zh-CN"/>
        </w:rPr>
      </w:pPr>
      <w:r>
        <w:rPr>
          <w:rFonts w:ascii="仿宋" w:eastAsia="仿宋" w:hAnsi="仿宋" w:hint="eastAsia"/>
          <w:sz w:val="32"/>
          <w:szCs w:val="32"/>
          <w:lang w:eastAsia="zh-CN"/>
        </w:rPr>
        <w:t>2022年度收、支总计</w:t>
      </w:r>
      <w:r>
        <w:rPr>
          <w:rFonts w:ascii="仿宋" w:eastAsia="仿宋" w:hAnsi="仿宋" w:hint="eastAsia"/>
          <w:sz w:val="32"/>
          <w:szCs w:val="32"/>
          <w:lang w:val="en-US" w:eastAsia="zh-CN"/>
        </w:rPr>
        <w:t>583.69</w:t>
      </w:r>
      <w:r>
        <w:rPr>
          <w:rFonts w:ascii="仿宋" w:eastAsia="仿宋" w:hAnsi="仿宋" w:hint="eastAsia"/>
          <w:sz w:val="32"/>
          <w:szCs w:val="32"/>
          <w:lang w:eastAsia="zh-CN"/>
        </w:rPr>
        <w:t>万元。与2021年相比，收、支总计各减少</w:t>
      </w:r>
      <w:r>
        <w:rPr>
          <w:rFonts w:ascii="仿宋" w:eastAsia="仿宋" w:hAnsi="仿宋" w:hint="eastAsia"/>
          <w:sz w:val="32"/>
          <w:szCs w:val="32"/>
          <w:lang w:val="en-US" w:eastAsia="zh-CN"/>
        </w:rPr>
        <w:t>28.91</w:t>
      </w:r>
      <w:r>
        <w:rPr>
          <w:rFonts w:ascii="仿宋" w:eastAsia="仿宋" w:hAnsi="仿宋" w:hint="eastAsia"/>
          <w:sz w:val="32"/>
          <w:szCs w:val="32"/>
          <w:lang w:eastAsia="zh-CN"/>
        </w:rPr>
        <w:t>万元，下降</w:t>
      </w:r>
      <w:r>
        <w:rPr>
          <w:rFonts w:ascii="仿宋" w:eastAsia="仿宋" w:hAnsi="仿宋" w:hint="eastAsia"/>
          <w:sz w:val="32"/>
          <w:szCs w:val="32"/>
          <w:lang w:val="en-US" w:eastAsia="zh-CN"/>
        </w:rPr>
        <w:t>4.72</w:t>
      </w:r>
      <w:r>
        <w:rPr>
          <w:rFonts w:ascii="仿宋" w:eastAsia="仿宋" w:hAnsi="仿宋" w:hint="eastAsia"/>
          <w:sz w:val="32"/>
          <w:szCs w:val="32"/>
          <w:lang w:eastAsia="zh-CN"/>
        </w:rPr>
        <w:t>%。主要变动原因是</w:t>
      </w:r>
      <w:r>
        <w:rPr>
          <w:rFonts w:ascii="仿宋" w:eastAsia="仿宋" w:hAnsi="仿宋" w:hint="eastAsia"/>
          <w:sz w:val="32"/>
          <w:szCs w:val="32"/>
          <w:lang w:val="en-US" w:eastAsia="zh-CN"/>
        </w:rPr>
        <w:t>上年度预算执行中追加了项目支出预算，</w:t>
      </w:r>
      <w:r>
        <w:rPr>
          <w:rFonts w:ascii="仿宋" w:eastAsia="仿宋" w:hAnsi="仿宋"/>
          <w:sz w:val="32"/>
          <w:szCs w:val="32"/>
          <w:lang w:val="en-US" w:eastAsia="zh-CN"/>
        </w:rPr>
        <w:t>2022</w:t>
      </w:r>
      <w:r>
        <w:rPr>
          <w:rFonts w:ascii="仿宋" w:eastAsia="仿宋" w:hAnsi="仿宋" w:hint="eastAsia"/>
          <w:sz w:val="32"/>
          <w:szCs w:val="32"/>
          <w:lang w:val="en-US" w:eastAsia="zh-CN"/>
        </w:rPr>
        <w:t>年度项目支出较少，因此</w:t>
      </w:r>
      <w:r>
        <w:rPr>
          <w:rFonts w:ascii="仿宋" w:eastAsia="仿宋" w:hAnsi="仿宋"/>
          <w:sz w:val="32"/>
          <w:szCs w:val="32"/>
          <w:lang w:val="en-US" w:eastAsia="zh-CN"/>
        </w:rPr>
        <w:t>2022</w:t>
      </w:r>
      <w:r>
        <w:rPr>
          <w:rFonts w:ascii="仿宋" w:eastAsia="仿宋" w:hAnsi="仿宋" w:hint="eastAsia"/>
          <w:sz w:val="32"/>
          <w:szCs w:val="32"/>
          <w:lang w:val="en-US" w:eastAsia="zh-CN"/>
        </w:rPr>
        <w:t>年</w:t>
      </w:r>
      <w:r>
        <w:rPr>
          <w:rFonts w:ascii="仿宋" w:eastAsia="仿宋" w:hAnsi="仿宋" w:hint="eastAsia"/>
          <w:sz w:val="32"/>
          <w:szCs w:val="32"/>
          <w:lang w:eastAsia="zh-CN"/>
        </w:rPr>
        <w:t>收、支总计</w:t>
      </w:r>
      <w:r>
        <w:rPr>
          <w:rFonts w:ascii="仿宋" w:eastAsia="仿宋" w:hAnsi="仿宋" w:hint="eastAsia"/>
          <w:sz w:val="32"/>
          <w:szCs w:val="32"/>
          <w:lang w:val="en-US" w:eastAsia="zh-CN"/>
        </w:rPr>
        <w:t>同比减少。</w:t>
      </w:r>
    </w:p>
    <w:p>
      <w:pPr>
        <w:keepNext w:val="0"/>
        <w:keepLines w:val="0"/>
        <w:pageBreakBefore w:val="0"/>
        <w:widowControl w:val="0"/>
        <w:kinsoku/>
        <w:wordWrap/>
        <w:overflowPunct/>
        <w:topLinePunct w:val="0"/>
        <w:autoSpaceDE/>
        <w:autoSpaceDN/>
        <w:bidi w:val="0"/>
        <w:adjustRightInd/>
        <w:snapToGrid/>
        <w:spacing w:line="400" w:lineRule="exact"/>
        <w:ind w:firstLineChars="200" w:firstLine="640"/>
        <w:jc w:val="left"/>
        <w:textAlignment w:val="auto"/>
        <w:rPr>
          <w:rFonts w:ascii="仿宋_GB2312" w:eastAsia="仿宋_GB2312"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Chars="200" w:firstLine="640"/>
        <w:jc w:val="left"/>
        <w:textAlignment w:val="auto"/>
        <w:rPr>
          <w:rFonts w:ascii="仿宋_GB2312" w:eastAsia="仿宋_GB2312" w:hint="eastAsia"/>
          <w:sz w:val="32"/>
          <w:szCs w:val="32"/>
          <w:lang w:eastAsia="zh-CN"/>
        </w:rPr>
      </w:pPr>
      <w:r>
        <w:rPr>
          <w:rFonts w:ascii="仿宋_GB2312" w:eastAsia="仿宋_GB2312" w:hint="eastAsia"/>
          <w:sz w:val="32"/>
          <w:szCs w:val="32"/>
          <w:lang w:eastAsia="zh-CN"/>
        </w:rPr>
        <w:drawing>
          <wp:inline distT="0" distB="0" distL="114300" distR="114300">
            <wp:extent cx="5079998" cy="3810000"/>
            <wp:effectExtent l="0" t="0" r="0" b="0"/>
            <wp:docPr id="1" name="图表 1"/>
            <wp:cNvGraphicFramePr>
              <a:graphicFrameLocks noChangeAspect="0"/>
            </wp:cNvGraphicFramePr>
            <a:graphic>
              <a:graphicData uri="http://schemas.openxmlformats.org/drawingml/2006/chart">
                <c:chart xmlns:c="http://schemas.openxmlformats.org/drawingml/2006/chart" r:id="rId4"/>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ind w:firstLineChars="700" w:firstLine="2240"/>
        <w:textAlignment w:val="auto"/>
        <w:rPr>
          <w:rFonts w:hint="eastAsia"/>
          <w:lang w:eastAsia="zh-CN"/>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w:t>
      </w:r>
    </w:p>
    <w:p>
      <w:pPr>
        <w:pStyle w:val="35"/>
        <w:numPr>
          <w:ilvl w:val="0"/>
          <w:numId w:val="2"/>
        </w:numPr>
        <w:spacing w:line="600" w:lineRule="exact"/>
        <w:ind w:firstLineChars="0"/>
        <w:outlineLvl w:val="1"/>
        <w:rPr>
          <w:rFonts w:ascii="黑体" w:eastAsia="黑体" w:hAnsi="黑体" w:hint="eastAsia"/>
          <w:sz w:val="32"/>
          <w:szCs w:val="32"/>
        </w:rPr>
      </w:pPr>
      <w:bookmarkStart w:id="34" w:name="_Toc15377206"/>
      <w:bookmarkStart w:id="35" w:name="_Toc15396604"/>
      <w:bookmarkStart w:id="36" w:name="_Toc21925"/>
      <w:r>
        <w:rPr>
          <w:rFonts w:ascii="黑体" w:eastAsia="黑体" w:hAnsi="黑体" w:hint="eastAsia"/>
          <w:sz w:val="32"/>
          <w:szCs w:val="32"/>
        </w:rPr>
        <w:t>收入决算情况说明</w:t>
      </w:r>
      <w:bookmarkEnd w:id="34"/>
      <w:bookmarkEnd w:id="35"/>
      <w:bookmarkEnd w:id="36"/>
    </w:p>
    <w:p>
      <w:pPr>
        <w:spacing w:line="600" w:lineRule="exact"/>
        <w:ind w:firstLineChars="200" w:firstLine="640"/>
        <w:rPr>
          <w:rFonts w:ascii="仿宋" w:eastAsia="仿宋" w:hAnsi="仿宋" w:hint="eastAsia"/>
          <w:sz w:val="32"/>
          <w:szCs w:val="32"/>
          <w:lang w:eastAsia="zh-CN"/>
        </w:rPr>
      </w:pPr>
      <w:bookmarkStart w:id="37" w:name="_Toc28160"/>
      <w:r>
        <w:rPr>
          <w:rFonts w:ascii="仿宋" w:eastAsia="仿宋" w:hAnsi="仿宋" w:hint="eastAsia"/>
          <w:sz w:val="32"/>
          <w:szCs w:val="32"/>
          <w:lang w:eastAsia="zh-CN"/>
        </w:rPr>
        <w:t>2022年本年收入合计</w:t>
      </w:r>
      <w:r>
        <w:rPr>
          <w:rFonts w:ascii="仿宋" w:eastAsia="仿宋" w:hAnsi="仿宋" w:hint="eastAsia"/>
          <w:sz w:val="32"/>
          <w:szCs w:val="32"/>
          <w:lang w:val="en-US" w:eastAsia="zh-CN"/>
        </w:rPr>
        <w:t>562.80</w:t>
      </w:r>
      <w:r>
        <w:rPr>
          <w:rFonts w:ascii="仿宋" w:eastAsia="仿宋" w:hAnsi="仿宋" w:hint="eastAsia"/>
          <w:sz w:val="32"/>
          <w:szCs w:val="32"/>
          <w:lang w:eastAsia="zh-CN"/>
        </w:rPr>
        <w:t>万元，其中：一般公共预算财政拨款收入</w:t>
      </w:r>
      <w:r>
        <w:rPr>
          <w:rFonts w:ascii="仿宋" w:eastAsia="仿宋" w:hAnsi="仿宋" w:hint="eastAsia"/>
          <w:sz w:val="32"/>
          <w:szCs w:val="32"/>
          <w:lang w:val="en-US" w:eastAsia="zh-CN"/>
        </w:rPr>
        <w:t>562.80</w:t>
      </w:r>
      <w:r>
        <w:rPr>
          <w:rFonts w:ascii="仿宋" w:eastAsia="仿宋" w:hAnsi="仿宋" w:hint="eastAsia"/>
          <w:sz w:val="32"/>
          <w:szCs w:val="32"/>
          <w:lang w:eastAsia="zh-CN"/>
        </w:rPr>
        <w:t>万元，占</w:t>
      </w:r>
      <w:r>
        <w:rPr>
          <w:rFonts w:ascii="仿宋" w:eastAsia="仿宋" w:hAnsi="仿宋" w:hint="eastAsia"/>
          <w:sz w:val="32"/>
          <w:szCs w:val="32"/>
          <w:lang w:val="en-US" w:eastAsia="zh-CN"/>
        </w:rPr>
        <w:t>100</w:t>
      </w:r>
      <w:r>
        <w:rPr>
          <w:rFonts w:ascii="仿宋" w:eastAsia="仿宋" w:hAnsi="仿宋" w:hint="eastAsia"/>
          <w:sz w:val="32"/>
          <w:szCs w:val="32"/>
          <w:lang w:eastAsia="zh-CN"/>
        </w:rPr>
        <w:t>%；政府性基金预算财政拨款收入</w:t>
      </w:r>
      <w:r>
        <w:rPr>
          <w:rFonts w:ascii="仿宋" w:eastAsia="仿宋" w:hAnsi="仿宋" w:hint="eastAsia"/>
          <w:sz w:val="32"/>
          <w:szCs w:val="32"/>
          <w:lang w:val="en-US" w:eastAsia="zh-CN"/>
        </w:rPr>
        <w:t>0</w:t>
      </w:r>
      <w:r>
        <w:rPr>
          <w:rFonts w:ascii="仿宋" w:eastAsia="仿宋" w:hAnsi="仿宋" w:hint="eastAsia"/>
          <w:sz w:val="32"/>
          <w:szCs w:val="32"/>
          <w:lang w:eastAsia="zh-CN"/>
        </w:rPr>
        <w:t>万元，占</w:t>
      </w:r>
      <w:r>
        <w:rPr>
          <w:rFonts w:ascii="仿宋" w:eastAsia="仿宋" w:hAnsi="仿宋" w:hint="eastAsia"/>
          <w:sz w:val="32"/>
          <w:szCs w:val="32"/>
          <w:lang w:val="en-US" w:eastAsia="zh-CN"/>
        </w:rPr>
        <w:t>0</w:t>
      </w:r>
      <w:r>
        <w:rPr>
          <w:rFonts w:ascii="仿宋" w:eastAsia="仿宋" w:hAnsi="仿宋" w:hint="eastAsia"/>
          <w:sz w:val="32"/>
          <w:szCs w:val="32"/>
          <w:lang w:eastAsia="zh-CN"/>
        </w:rPr>
        <w:t>%；国有资本经营预算财政拨款收入</w:t>
      </w:r>
      <w:r>
        <w:rPr>
          <w:rFonts w:ascii="仿宋" w:eastAsia="仿宋" w:hAnsi="仿宋" w:hint="eastAsia"/>
          <w:sz w:val="32"/>
          <w:szCs w:val="32"/>
          <w:lang w:val="en-US" w:eastAsia="zh-CN"/>
        </w:rPr>
        <w:t>0</w:t>
      </w:r>
      <w:r>
        <w:rPr>
          <w:rFonts w:ascii="仿宋" w:eastAsia="仿宋" w:hAnsi="仿宋" w:hint="eastAsia"/>
          <w:sz w:val="32"/>
          <w:szCs w:val="32"/>
          <w:lang w:eastAsia="zh-CN"/>
        </w:rPr>
        <w:t>万元，占</w:t>
      </w:r>
      <w:r>
        <w:rPr>
          <w:rFonts w:ascii="仿宋" w:eastAsia="仿宋" w:hAnsi="仿宋" w:hint="eastAsia"/>
          <w:sz w:val="32"/>
          <w:szCs w:val="32"/>
          <w:lang w:val="en-US" w:eastAsia="zh-CN"/>
        </w:rPr>
        <w:t>0</w:t>
      </w:r>
      <w:r>
        <w:rPr>
          <w:rFonts w:ascii="仿宋" w:eastAsia="仿宋" w:hAnsi="仿宋" w:hint="eastAsia"/>
          <w:sz w:val="32"/>
          <w:szCs w:val="32"/>
          <w:lang w:eastAsia="zh-CN"/>
        </w:rPr>
        <w:t>%；上级补助收入</w:t>
      </w:r>
      <w:r>
        <w:rPr>
          <w:rFonts w:ascii="仿宋" w:eastAsia="仿宋" w:hAnsi="仿宋" w:hint="eastAsia"/>
          <w:sz w:val="32"/>
          <w:szCs w:val="32"/>
          <w:lang w:val="en-US" w:eastAsia="zh-CN"/>
        </w:rPr>
        <w:t>0</w:t>
      </w:r>
      <w:r>
        <w:rPr>
          <w:rFonts w:ascii="仿宋" w:eastAsia="仿宋" w:hAnsi="仿宋" w:hint="eastAsia"/>
          <w:sz w:val="32"/>
          <w:szCs w:val="32"/>
          <w:lang w:eastAsia="zh-CN"/>
        </w:rPr>
        <w:t>万元，占</w:t>
      </w:r>
      <w:r>
        <w:rPr>
          <w:rFonts w:ascii="仿宋" w:eastAsia="仿宋" w:hAnsi="仿宋" w:hint="eastAsia"/>
          <w:sz w:val="32"/>
          <w:szCs w:val="32"/>
          <w:lang w:val="en-US" w:eastAsia="zh-CN"/>
        </w:rPr>
        <w:t>0</w:t>
      </w:r>
      <w:r>
        <w:rPr>
          <w:rFonts w:ascii="仿宋" w:eastAsia="仿宋" w:hAnsi="仿宋" w:hint="eastAsia"/>
          <w:sz w:val="32"/>
          <w:szCs w:val="32"/>
          <w:lang w:eastAsia="zh-CN"/>
        </w:rPr>
        <w:t>%；事业收入</w:t>
      </w:r>
      <w:r>
        <w:rPr>
          <w:rFonts w:ascii="仿宋" w:eastAsia="仿宋" w:hAnsi="仿宋" w:hint="eastAsia"/>
          <w:sz w:val="32"/>
          <w:szCs w:val="32"/>
          <w:lang w:val="en-US" w:eastAsia="zh-CN"/>
        </w:rPr>
        <w:t>0</w:t>
      </w:r>
      <w:r>
        <w:rPr>
          <w:rFonts w:ascii="仿宋" w:eastAsia="仿宋" w:hAnsi="仿宋" w:hint="eastAsia"/>
          <w:sz w:val="32"/>
          <w:szCs w:val="32"/>
          <w:lang w:eastAsia="zh-CN"/>
        </w:rPr>
        <w:t>万元，占</w:t>
      </w:r>
      <w:r>
        <w:rPr>
          <w:rFonts w:ascii="仿宋" w:eastAsia="仿宋" w:hAnsi="仿宋" w:hint="eastAsia"/>
          <w:sz w:val="32"/>
          <w:szCs w:val="32"/>
          <w:lang w:val="en-US" w:eastAsia="zh-CN"/>
        </w:rPr>
        <w:t>0</w:t>
      </w:r>
      <w:r>
        <w:rPr>
          <w:rFonts w:ascii="仿宋" w:eastAsia="仿宋" w:hAnsi="仿宋" w:hint="eastAsia"/>
          <w:sz w:val="32"/>
          <w:szCs w:val="32"/>
          <w:lang w:eastAsia="zh-CN"/>
        </w:rPr>
        <w:t>%；经营收入</w:t>
      </w:r>
      <w:r>
        <w:rPr>
          <w:rFonts w:ascii="仿宋" w:eastAsia="仿宋" w:hAnsi="仿宋" w:hint="eastAsia"/>
          <w:sz w:val="32"/>
          <w:szCs w:val="32"/>
          <w:lang w:val="en-US" w:eastAsia="zh-CN"/>
        </w:rPr>
        <w:t>0</w:t>
      </w:r>
      <w:r>
        <w:rPr>
          <w:rFonts w:ascii="仿宋" w:eastAsia="仿宋" w:hAnsi="仿宋" w:hint="eastAsia"/>
          <w:sz w:val="32"/>
          <w:szCs w:val="32"/>
          <w:lang w:eastAsia="zh-CN"/>
        </w:rPr>
        <w:t>万元，占</w:t>
      </w:r>
      <w:r>
        <w:rPr>
          <w:rFonts w:ascii="仿宋" w:eastAsia="仿宋" w:hAnsi="仿宋" w:hint="eastAsia"/>
          <w:sz w:val="32"/>
          <w:szCs w:val="32"/>
          <w:lang w:val="en-US" w:eastAsia="zh-CN"/>
        </w:rPr>
        <w:t>0</w:t>
      </w:r>
      <w:r>
        <w:rPr>
          <w:rFonts w:ascii="仿宋" w:eastAsia="仿宋" w:hAnsi="仿宋" w:hint="eastAsia"/>
          <w:sz w:val="32"/>
          <w:szCs w:val="32"/>
          <w:lang w:eastAsia="zh-CN"/>
        </w:rPr>
        <w:t>%；附属单位上缴收入</w:t>
      </w:r>
      <w:r>
        <w:rPr>
          <w:rFonts w:ascii="仿宋" w:eastAsia="仿宋" w:hAnsi="仿宋" w:hint="eastAsia"/>
          <w:sz w:val="32"/>
          <w:szCs w:val="32"/>
          <w:lang w:val="en-US" w:eastAsia="zh-CN"/>
        </w:rPr>
        <w:t>0</w:t>
      </w:r>
      <w:r>
        <w:rPr>
          <w:rFonts w:ascii="仿宋" w:eastAsia="仿宋" w:hAnsi="仿宋" w:hint="eastAsia"/>
          <w:sz w:val="32"/>
          <w:szCs w:val="32"/>
          <w:lang w:eastAsia="zh-CN"/>
        </w:rPr>
        <w:t>万元，占</w:t>
      </w:r>
      <w:r>
        <w:rPr>
          <w:rFonts w:ascii="仿宋" w:eastAsia="仿宋" w:hAnsi="仿宋" w:hint="eastAsia"/>
          <w:sz w:val="32"/>
          <w:szCs w:val="32"/>
          <w:lang w:val="en-US" w:eastAsia="zh-CN"/>
        </w:rPr>
        <w:t>0</w:t>
      </w:r>
      <w:r>
        <w:rPr>
          <w:rFonts w:ascii="仿宋" w:eastAsia="仿宋" w:hAnsi="仿宋" w:hint="eastAsia"/>
          <w:sz w:val="32"/>
          <w:szCs w:val="32"/>
          <w:lang w:eastAsia="zh-CN"/>
        </w:rPr>
        <w:t>%；其他收入</w:t>
      </w:r>
      <w:r>
        <w:rPr>
          <w:rFonts w:ascii="仿宋" w:eastAsia="仿宋" w:hAnsi="仿宋" w:hint="eastAsia"/>
          <w:sz w:val="32"/>
          <w:szCs w:val="32"/>
          <w:lang w:val="en-US" w:eastAsia="zh-CN"/>
        </w:rPr>
        <w:t>0</w:t>
      </w:r>
      <w:r>
        <w:rPr>
          <w:rFonts w:ascii="仿宋" w:eastAsia="仿宋" w:hAnsi="仿宋" w:hint="eastAsia"/>
          <w:sz w:val="32"/>
          <w:szCs w:val="32"/>
          <w:lang w:eastAsia="zh-CN"/>
        </w:rPr>
        <w:t>万元，占</w:t>
      </w:r>
      <w:r>
        <w:rPr>
          <w:rFonts w:ascii="仿宋" w:eastAsia="仿宋" w:hAnsi="仿宋" w:hint="eastAsia"/>
          <w:sz w:val="32"/>
          <w:szCs w:val="32"/>
          <w:lang w:val="en-US" w:eastAsia="zh-CN"/>
        </w:rPr>
        <w:t>0</w:t>
      </w:r>
      <w:r>
        <w:rPr>
          <w:rFonts w:ascii="仿宋" w:eastAsia="仿宋" w:hAnsi="仿宋" w:hint="eastAsia"/>
          <w:sz w:val="32"/>
          <w:szCs w:val="32"/>
          <w:lang w:eastAsia="zh-CN"/>
        </w:rPr>
        <w:t>%。</w:t>
      </w:r>
      <w:bookmarkEnd w:id="37"/>
    </w:p>
    <w:p>
      <w:pPr>
        <w:pStyle w:val="24"/>
        <w:tabs>
          <w:tab w:val="right" w:leader="dot" w:pos="8296"/>
        </w:tabs>
      </w:pPr>
    </w:p>
    <w:p>
      <w:pPr>
        <w:pStyle w:val="24"/>
        <w:tabs>
          <w:tab w:val="right" w:leader="dot" w:pos="8296"/>
        </w:tabs>
        <w:ind w:leftChars="0" w:left="0" w:firstLine="0"/>
        <w:rPr>
          <w:rFonts w:ascii="仿宋" w:eastAsia="仿宋" w:hAnsi="仿宋"/>
          <w:sz w:val="32"/>
          <w:szCs w:val="32"/>
        </w:rPr>
      </w:pPr>
      <w:r>
        <w:rPr>
          <w:rFonts w:eastAsia="仿宋" w:hint="eastAsia"/>
          <w:lang w:eastAsia="zh-CN"/>
        </w:rPr>
        <w:drawing>
          <wp:anchor distT="0" distB="0" distL="114300" distR="114300" simplePos="0" relativeHeight="30" behindDoc="0" locked="0" layoutInCell="1" hidden="0" allowOverlap="1">
            <wp:simplePos x="0" y="0"/>
            <wp:positionH relativeFrom="column">
              <wp:posOffset>271780</wp:posOffset>
            </wp:positionH>
            <wp:positionV relativeFrom="paragraph">
              <wp:posOffset>17780</wp:posOffset>
            </wp:positionV>
            <wp:extent cx="5079998" cy="4114165"/>
            <wp:effectExtent l="0" t="0" r="12" b="1"/>
            <wp:wrapSquare wrapText="bothSides"/>
            <wp:docPr id="2" name="图表 3"/>
            <wp:cNvGraphicFramePr>
              <a:graphicFrameLocks noChangeAspect="0"/>
            </wp:cNvGraphicFramePr>
            <a:graphic>
              <a:graphicData uri="http://schemas.openxmlformats.org/drawingml/2006/chart">
                <c:chart xmlns:c="http://schemas.openxmlformats.org/drawingml/2006/chart" r:id="rId5"/>
              </a:graphicData>
            </a:graphic>
          </wp:anchor>
        </w:drawing>
      </w:r>
      <w:r>
        <w:rPr>
          <w:rFonts w:eastAsia="仿宋" w:hint="eastAsia"/>
          <w:lang w:val="en-US" w:eastAsia="zh-CN"/>
        </w:rPr>
        <w:t xml:space="preserve">                      </w:t>
      </w:r>
      <w:r>
        <w:rPr>
          <w:rFonts w:ascii="仿宋" w:eastAsia="仿宋" w:hAnsi="仿宋" w:hint="eastAsia"/>
          <w:sz w:val="32"/>
          <w:szCs w:val="32"/>
        </w:rPr>
        <w:t>图2：收入决算结构图</w:t>
      </w:r>
    </w:p>
    <w:p>
      <w:pPr>
        <w:spacing w:line="600" w:lineRule="exact"/>
        <w:ind w:firstLineChars="200" w:firstLine="640"/>
        <w:rPr>
          <w:rFonts w:ascii="仿宋_GB2312" w:eastAsia="仿宋_GB2312"/>
          <w:sz w:val="32"/>
          <w:szCs w:val="32"/>
        </w:rPr>
      </w:pPr>
    </w:p>
    <w:p>
      <w:pPr>
        <w:pStyle w:val="35"/>
        <w:numPr>
          <w:ilvl w:val="0"/>
          <w:numId w:val="2"/>
        </w:numPr>
        <w:spacing w:line="600" w:lineRule="exact"/>
        <w:ind w:firstLineChars="0"/>
        <w:outlineLvl w:val="1"/>
        <w:rPr>
          <w:rFonts w:ascii="黑体" w:eastAsia="黑体" w:hAnsi="黑体" w:hint="eastAsia"/>
          <w:sz w:val="32"/>
          <w:szCs w:val="32"/>
        </w:rPr>
      </w:pPr>
      <w:bookmarkStart w:id="38" w:name="_Toc15396605"/>
      <w:bookmarkStart w:id="39" w:name="_Toc21076"/>
      <w:bookmarkStart w:id="40" w:name="_Toc15377207"/>
      <w:r>
        <w:rPr>
          <w:rFonts w:ascii="黑体" w:eastAsia="黑体" w:hAnsi="黑体" w:hint="eastAsia"/>
          <w:sz w:val="32"/>
          <w:szCs w:val="32"/>
        </w:rPr>
        <w:t>支出决算情况说明</w:t>
      </w:r>
      <w:bookmarkEnd w:id="38"/>
      <w:bookmarkEnd w:id="39"/>
      <w:bookmarkEnd w:id="40"/>
    </w:p>
    <w:p>
      <w:pPr>
        <w:spacing w:line="600" w:lineRule="exact"/>
        <w:ind w:firstLineChars="200" w:firstLine="640"/>
        <w:rPr>
          <w:rFonts w:ascii="仿宋" w:eastAsia="仿宋" w:hAnsi="仿宋" w:hint="eastAsia"/>
          <w:sz w:val="32"/>
          <w:szCs w:val="32"/>
          <w:lang w:eastAsia="zh-CN"/>
        </w:rPr>
      </w:pPr>
      <w:bookmarkStart w:id="41" w:name="_Toc24282"/>
      <w:r>
        <w:rPr>
          <w:rFonts w:ascii="仿宋" w:eastAsia="仿宋" w:hAnsi="仿宋" w:hint="eastAsia"/>
          <w:sz w:val="32"/>
          <w:szCs w:val="32"/>
          <w:lang w:eastAsia="zh-CN"/>
        </w:rPr>
        <w:t>2022年本年支出合计</w:t>
      </w:r>
      <w:r>
        <w:rPr>
          <w:rFonts w:ascii="仿宋" w:eastAsia="仿宋" w:hAnsi="仿宋" w:hint="eastAsia"/>
          <w:sz w:val="32"/>
          <w:szCs w:val="32"/>
          <w:lang w:val="en-US" w:eastAsia="zh-CN"/>
        </w:rPr>
        <w:t>583.69</w:t>
      </w:r>
      <w:r>
        <w:rPr>
          <w:rFonts w:ascii="仿宋" w:eastAsia="仿宋" w:hAnsi="仿宋" w:hint="eastAsia"/>
          <w:sz w:val="32"/>
          <w:szCs w:val="32"/>
          <w:lang w:eastAsia="zh-CN"/>
        </w:rPr>
        <w:t>万元，其中：基本支出</w:t>
      </w:r>
      <w:r>
        <w:rPr>
          <w:rFonts w:ascii="仿宋" w:eastAsia="仿宋" w:hAnsi="仿宋" w:hint="eastAsia"/>
          <w:sz w:val="32"/>
          <w:szCs w:val="32"/>
          <w:lang w:val="en-US" w:eastAsia="zh-CN"/>
        </w:rPr>
        <w:t>563.69</w:t>
      </w:r>
      <w:r>
        <w:rPr>
          <w:rFonts w:ascii="仿宋" w:eastAsia="仿宋" w:hAnsi="仿宋" w:hint="eastAsia"/>
          <w:sz w:val="32"/>
          <w:szCs w:val="32"/>
          <w:lang w:eastAsia="zh-CN"/>
        </w:rPr>
        <w:t>万元，占</w:t>
      </w:r>
      <w:r>
        <w:rPr>
          <w:rFonts w:ascii="仿宋" w:eastAsia="仿宋" w:hAnsi="仿宋" w:hint="eastAsia"/>
          <w:sz w:val="32"/>
          <w:szCs w:val="32"/>
          <w:lang w:val="en-US" w:eastAsia="zh-CN"/>
        </w:rPr>
        <w:t>96.57</w:t>
      </w:r>
      <w:r>
        <w:rPr>
          <w:rFonts w:ascii="仿宋" w:eastAsia="仿宋" w:hAnsi="仿宋" w:hint="eastAsia"/>
          <w:sz w:val="32"/>
          <w:szCs w:val="32"/>
          <w:lang w:eastAsia="zh-CN"/>
        </w:rPr>
        <w:t>%；项目支出</w:t>
      </w:r>
      <w:r>
        <w:rPr>
          <w:rFonts w:ascii="仿宋" w:eastAsia="仿宋" w:hAnsi="仿宋" w:hint="eastAsia"/>
          <w:sz w:val="32"/>
          <w:szCs w:val="32"/>
          <w:lang w:val="en-US" w:eastAsia="zh-CN"/>
        </w:rPr>
        <w:t>20</w:t>
      </w:r>
      <w:r>
        <w:rPr>
          <w:rFonts w:ascii="仿宋" w:eastAsia="仿宋" w:hAnsi="仿宋" w:hint="eastAsia"/>
          <w:sz w:val="32"/>
          <w:szCs w:val="32"/>
          <w:lang w:eastAsia="zh-CN"/>
        </w:rPr>
        <w:t>万元，占</w:t>
      </w:r>
      <w:r>
        <w:rPr>
          <w:rFonts w:ascii="仿宋" w:eastAsia="仿宋" w:hAnsi="仿宋" w:hint="eastAsia"/>
          <w:sz w:val="32"/>
          <w:szCs w:val="32"/>
          <w:lang w:val="en-US" w:eastAsia="zh-CN"/>
        </w:rPr>
        <w:t>3.43</w:t>
      </w:r>
      <w:r>
        <w:rPr>
          <w:rFonts w:ascii="仿宋" w:eastAsia="仿宋" w:hAnsi="仿宋" w:hint="eastAsia"/>
          <w:sz w:val="32"/>
          <w:szCs w:val="32"/>
          <w:lang w:eastAsia="zh-CN"/>
        </w:rPr>
        <w:t>%；上缴上级支出</w:t>
      </w:r>
      <w:r>
        <w:rPr>
          <w:rFonts w:ascii="仿宋" w:eastAsia="仿宋" w:hAnsi="仿宋" w:hint="eastAsia"/>
          <w:sz w:val="32"/>
          <w:szCs w:val="32"/>
          <w:lang w:val="en-US" w:eastAsia="zh-CN"/>
        </w:rPr>
        <w:t>0</w:t>
      </w:r>
      <w:r>
        <w:rPr>
          <w:rFonts w:ascii="仿宋" w:eastAsia="仿宋" w:hAnsi="仿宋" w:hint="eastAsia"/>
          <w:sz w:val="32"/>
          <w:szCs w:val="32"/>
          <w:lang w:eastAsia="zh-CN"/>
        </w:rPr>
        <w:t>万元，占</w:t>
      </w:r>
      <w:r>
        <w:rPr>
          <w:rFonts w:ascii="仿宋" w:eastAsia="仿宋" w:hAnsi="仿宋" w:hint="eastAsia"/>
          <w:sz w:val="32"/>
          <w:szCs w:val="32"/>
          <w:lang w:val="en-US" w:eastAsia="zh-CN"/>
        </w:rPr>
        <w:t>0</w:t>
      </w:r>
      <w:r>
        <w:rPr>
          <w:rFonts w:ascii="仿宋" w:eastAsia="仿宋" w:hAnsi="仿宋" w:hint="eastAsia"/>
          <w:sz w:val="32"/>
          <w:szCs w:val="32"/>
          <w:lang w:eastAsia="zh-CN"/>
        </w:rPr>
        <w:t>%；经营支出</w:t>
      </w:r>
      <w:r>
        <w:rPr>
          <w:rFonts w:ascii="仿宋" w:eastAsia="仿宋" w:hAnsi="仿宋" w:hint="eastAsia"/>
          <w:sz w:val="32"/>
          <w:szCs w:val="32"/>
          <w:lang w:val="en-US" w:eastAsia="zh-CN"/>
        </w:rPr>
        <w:t>0</w:t>
      </w:r>
      <w:r>
        <w:rPr>
          <w:rFonts w:ascii="仿宋" w:eastAsia="仿宋" w:hAnsi="仿宋" w:hint="eastAsia"/>
          <w:sz w:val="32"/>
          <w:szCs w:val="32"/>
          <w:lang w:eastAsia="zh-CN"/>
        </w:rPr>
        <w:t>万元，占</w:t>
      </w:r>
      <w:r>
        <w:rPr>
          <w:rFonts w:ascii="仿宋" w:eastAsia="仿宋" w:hAnsi="仿宋" w:hint="eastAsia"/>
          <w:sz w:val="32"/>
          <w:szCs w:val="32"/>
          <w:lang w:val="en-US" w:eastAsia="zh-CN"/>
        </w:rPr>
        <w:t>0</w:t>
      </w:r>
      <w:r>
        <w:rPr>
          <w:rFonts w:ascii="仿宋" w:eastAsia="仿宋" w:hAnsi="仿宋" w:hint="eastAsia"/>
          <w:sz w:val="32"/>
          <w:szCs w:val="32"/>
          <w:lang w:eastAsia="zh-CN"/>
        </w:rPr>
        <w:t>%；对附属单位补助支出</w:t>
      </w:r>
      <w:r>
        <w:rPr>
          <w:rFonts w:ascii="仿宋" w:eastAsia="仿宋" w:hAnsi="仿宋" w:hint="eastAsia"/>
          <w:sz w:val="32"/>
          <w:szCs w:val="32"/>
          <w:lang w:val="en-US" w:eastAsia="zh-CN"/>
        </w:rPr>
        <w:t>0</w:t>
      </w:r>
      <w:r>
        <w:rPr>
          <w:rFonts w:ascii="仿宋" w:eastAsia="仿宋" w:hAnsi="仿宋" w:hint="eastAsia"/>
          <w:sz w:val="32"/>
          <w:szCs w:val="32"/>
          <w:lang w:eastAsia="zh-CN"/>
        </w:rPr>
        <w:t>万元，占</w:t>
      </w:r>
      <w:r>
        <w:rPr>
          <w:rFonts w:ascii="仿宋" w:eastAsia="仿宋" w:hAnsi="仿宋" w:hint="eastAsia"/>
          <w:sz w:val="32"/>
          <w:szCs w:val="32"/>
          <w:lang w:val="en-US" w:eastAsia="zh-CN"/>
        </w:rPr>
        <w:t>0</w:t>
      </w:r>
      <w:r>
        <w:rPr>
          <w:rFonts w:ascii="仿宋" w:eastAsia="仿宋" w:hAnsi="仿宋" w:hint="eastAsia"/>
          <w:sz w:val="32"/>
          <w:szCs w:val="32"/>
          <w:lang w:eastAsia="zh-CN"/>
        </w:rPr>
        <w:t>%。</w:t>
      </w:r>
      <w:bookmarkEnd w:id="41"/>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ascii="仿宋" w:eastAsia="仿宋" w:hAnsi="仿宋" w:hint="eastAsia"/>
          <w:sz w:val="32"/>
          <w:szCs w:val="32"/>
          <w:shd w:val="pct10" w:color="auto" w:fill="FFFFFF"/>
          <w:lang w:eastAsia="zh-CN"/>
        </w:rPr>
      </w:pPr>
      <w:r>
        <w:rPr>
          <w:rFonts w:ascii="仿宋" w:eastAsia="仿宋" w:hAnsi="仿宋" w:hint="eastAsia"/>
          <w:sz w:val="32"/>
          <w:szCs w:val="32"/>
          <w:shd w:val="pct10" w:color="auto" w:fill="FFFFFF"/>
          <w:lang w:eastAsia="zh-CN"/>
        </w:rPr>
        <w:drawing>
          <wp:inline distT="0" distB="0" distL="114300" distR="114300">
            <wp:extent cx="5079998" cy="3810000"/>
            <wp:effectExtent l="0" t="0" r="0" b="0"/>
            <wp:docPr id="3" name="图表 5"/>
            <wp:cNvGraphicFramePr>
              <a:graphicFrameLocks noChangeAspect="0"/>
            </wp:cNvGraphicFramePr>
            <a:graphic>
              <a:graphicData uri="http://schemas.openxmlformats.org/drawingml/2006/chart">
                <c:chart xmlns:c="http://schemas.openxmlformats.org/drawingml/2006/chart" r:id="rId6"/>
              </a:graphicData>
            </a:graphic>
          </wp:inline>
        </w:drawing>
      </w:r>
    </w:p>
    <w:p>
      <w:pPr>
        <w:spacing w:line="600" w:lineRule="exact"/>
        <w:ind w:firstLineChars="700" w:firstLine="2240"/>
        <w:rPr>
          <w:rFonts w:ascii="仿宋" w:eastAsia="仿宋" w:hAnsi="仿宋"/>
          <w:sz w:val="32"/>
          <w:szCs w:val="32"/>
        </w:rPr>
      </w:pPr>
      <w:r>
        <w:rPr>
          <w:rFonts w:ascii="仿宋" w:eastAsia="仿宋" w:hAnsi="仿宋" w:hint="eastAsia"/>
          <w:sz w:val="32"/>
          <w:szCs w:val="32"/>
        </w:rPr>
        <w:t>图3：支出决算结构图</w:t>
      </w:r>
    </w:p>
    <w:p>
      <w:pPr>
        <w:spacing w:line="600" w:lineRule="exact"/>
        <w:ind w:firstLineChars="200" w:firstLine="640"/>
        <w:rPr>
          <w:rFonts w:ascii="仿宋_GB2312" w:eastAsia="仿宋_GB2312"/>
          <w:sz w:val="32"/>
          <w:szCs w:val="32"/>
        </w:rPr>
      </w:pPr>
    </w:p>
    <w:p>
      <w:pPr>
        <w:pStyle w:val="35"/>
        <w:numPr>
          <w:ilvl w:val="0"/>
          <w:numId w:val="2"/>
        </w:numPr>
        <w:spacing w:line="600" w:lineRule="exact"/>
        <w:ind w:firstLineChars="0"/>
        <w:outlineLvl w:val="1"/>
        <w:rPr>
          <w:rFonts w:ascii="黑体" w:eastAsia="黑体" w:hAnsi="黑体" w:hint="eastAsia"/>
          <w:sz w:val="32"/>
          <w:szCs w:val="32"/>
        </w:rPr>
      </w:pPr>
      <w:bookmarkStart w:id="42" w:name="_Toc15377208"/>
      <w:bookmarkStart w:id="43" w:name="_Toc15396606"/>
      <w:bookmarkStart w:id="44" w:name="_Toc1971"/>
      <w:r>
        <w:rPr>
          <w:rFonts w:ascii="黑体" w:eastAsia="黑体" w:hAnsi="黑体" w:hint="eastAsia"/>
          <w:sz w:val="32"/>
          <w:szCs w:val="32"/>
        </w:rPr>
        <w:t>财政拨款收入支出决算总体情况说明</w:t>
      </w:r>
      <w:bookmarkEnd w:id="42"/>
      <w:bookmarkEnd w:id="43"/>
      <w:bookmarkEnd w:id="44"/>
    </w:p>
    <w:p>
      <w:pPr>
        <w:spacing w:line="600" w:lineRule="exact"/>
        <w:ind w:firstLineChars="200" w:firstLine="640"/>
        <w:rPr>
          <w:rFonts w:ascii="仿宋" w:eastAsia="仿宋" w:hAnsi="仿宋" w:hint="eastAsia"/>
          <w:sz w:val="32"/>
          <w:szCs w:val="32"/>
          <w:lang w:eastAsia="zh-CN"/>
        </w:rPr>
      </w:pPr>
      <w:r>
        <w:rPr>
          <w:rFonts w:ascii="仿宋" w:eastAsia="仿宋" w:hAnsi="仿宋" w:hint="eastAsia"/>
          <w:sz w:val="32"/>
          <w:szCs w:val="32"/>
          <w:lang w:eastAsia="zh-CN"/>
        </w:rPr>
        <w:t>2022年财政拨款收入总计</w:t>
      </w:r>
      <w:r>
        <w:rPr>
          <w:rFonts w:ascii="仿宋" w:eastAsia="仿宋" w:hAnsi="仿宋" w:hint="eastAsia"/>
          <w:sz w:val="32"/>
          <w:szCs w:val="32"/>
          <w:lang w:val="en-US" w:eastAsia="zh-CN"/>
        </w:rPr>
        <w:t>562.80</w:t>
      </w:r>
      <w:r>
        <w:rPr>
          <w:rFonts w:ascii="仿宋" w:eastAsia="仿宋" w:hAnsi="仿宋" w:hint="eastAsia"/>
          <w:sz w:val="32"/>
          <w:szCs w:val="32"/>
          <w:lang w:eastAsia="zh-CN"/>
        </w:rPr>
        <w:t>万元，财政拨款支出总计</w:t>
      </w:r>
      <w:r>
        <w:rPr>
          <w:rFonts w:ascii="仿宋" w:eastAsia="仿宋" w:hAnsi="仿宋" w:hint="eastAsia"/>
          <w:sz w:val="32"/>
          <w:szCs w:val="32"/>
          <w:lang w:val="en-US" w:eastAsia="zh-CN"/>
        </w:rPr>
        <w:t>583.69万元</w:t>
      </w:r>
      <w:r>
        <w:rPr>
          <w:rFonts w:ascii="仿宋" w:eastAsia="仿宋" w:hAnsi="仿宋" w:hint="eastAsia"/>
          <w:sz w:val="32"/>
          <w:szCs w:val="32"/>
          <w:lang w:eastAsia="zh-CN"/>
        </w:rPr>
        <w:t>。与2021年相比，财政拨款支出总计减少</w:t>
      </w:r>
      <w:r>
        <w:rPr>
          <w:rFonts w:ascii="仿宋" w:eastAsia="仿宋" w:hAnsi="仿宋" w:hint="eastAsia"/>
          <w:sz w:val="32"/>
          <w:szCs w:val="32"/>
          <w:lang w:val="en-US" w:eastAsia="zh-CN"/>
        </w:rPr>
        <w:t>28.91</w:t>
      </w:r>
      <w:r>
        <w:rPr>
          <w:rFonts w:ascii="仿宋" w:eastAsia="仿宋" w:hAnsi="仿宋" w:hint="eastAsia"/>
          <w:sz w:val="32"/>
          <w:szCs w:val="32"/>
          <w:lang w:eastAsia="zh-CN"/>
        </w:rPr>
        <w:t>万元，下降</w:t>
      </w:r>
      <w:r>
        <w:rPr>
          <w:rFonts w:ascii="仿宋" w:eastAsia="仿宋" w:hAnsi="仿宋" w:hint="eastAsia"/>
          <w:sz w:val="32"/>
          <w:szCs w:val="32"/>
          <w:lang w:val="en-US" w:eastAsia="zh-CN"/>
        </w:rPr>
        <w:t>4.72</w:t>
      </w:r>
      <w:r>
        <w:rPr>
          <w:rFonts w:ascii="仿宋" w:eastAsia="仿宋" w:hAnsi="仿宋" w:hint="eastAsia"/>
          <w:sz w:val="32"/>
          <w:szCs w:val="32"/>
          <w:lang w:eastAsia="zh-CN"/>
        </w:rPr>
        <w:t>%。主要变动原因是</w:t>
      </w:r>
      <w:r>
        <w:rPr>
          <w:rFonts w:ascii="仿宋" w:eastAsia="仿宋" w:hAnsi="仿宋" w:hint="eastAsia"/>
          <w:sz w:val="32"/>
          <w:szCs w:val="32"/>
          <w:lang w:val="en-US" w:eastAsia="zh-CN"/>
        </w:rPr>
        <w:t>上年度预算执行中追加了项目支出预算，</w:t>
      </w:r>
      <w:r>
        <w:rPr>
          <w:rFonts w:ascii="仿宋" w:eastAsia="仿宋" w:hAnsi="仿宋"/>
          <w:sz w:val="32"/>
          <w:szCs w:val="32"/>
          <w:lang w:val="en-US" w:eastAsia="zh-CN"/>
        </w:rPr>
        <w:t>2022</w:t>
      </w:r>
      <w:r>
        <w:rPr>
          <w:rFonts w:ascii="仿宋" w:eastAsia="仿宋" w:hAnsi="仿宋" w:hint="eastAsia"/>
          <w:sz w:val="32"/>
          <w:szCs w:val="32"/>
          <w:lang w:val="en-US" w:eastAsia="zh-CN"/>
        </w:rPr>
        <w:t>年度项目支出较少，因此</w:t>
      </w:r>
      <w:r>
        <w:rPr>
          <w:rFonts w:ascii="仿宋" w:eastAsia="仿宋" w:hAnsi="仿宋"/>
          <w:sz w:val="32"/>
          <w:szCs w:val="32"/>
          <w:lang w:val="en-US" w:eastAsia="zh-CN"/>
        </w:rPr>
        <w:t>2022</w:t>
      </w:r>
      <w:r>
        <w:rPr>
          <w:rFonts w:ascii="仿宋" w:eastAsia="仿宋" w:hAnsi="仿宋" w:hint="eastAsia"/>
          <w:sz w:val="32"/>
          <w:szCs w:val="32"/>
          <w:lang w:val="en-US" w:eastAsia="zh-CN"/>
        </w:rPr>
        <w:t>年</w:t>
      </w:r>
      <w:r>
        <w:rPr>
          <w:rFonts w:ascii="仿宋" w:eastAsia="仿宋" w:hAnsi="仿宋" w:hint="eastAsia"/>
          <w:sz w:val="32"/>
          <w:szCs w:val="32"/>
          <w:lang w:eastAsia="zh-CN"/>
        </w:rPr>
        <w:t>财政拨款收、支</w:t>
      </w:r>
      <w:r>
        <w:rPr>
          <w:rFonts w:ascii="仿宋" w:eastAsia="仿宋" w:hAnsi="仿宋" w:hint="eastAsia"/>
          <w:sz w:val="32"/>
          <w:szCs w:val="32"/>
          <w:lang w:val="en-US" w:eastAsia="zh-CN"/>
        </w:rPr>
        <w:t>数同比减少。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eastAsia="仿宋" w:hAnsi="仿宋" w:hint="eastAsia"/>
          <w:sz w:val="32"/>
          <w:szCs w:val="32"/>
          <w:lang w:eastAsia="zh-CN"/>
        </w:rPr>
      </w:pPr>
      <w:r>
        <w:rPr>
          <w:rFonts w:ascii="仿宋" w:eastAsia="仿宋" w:hAnsi="仿宋" w:hint="eastAsia"/>
          <w:sz w:val="32"/>
          <w:szCs w:val="32"/>
          <w:lang w:eastAsia="zh-CN"/>
        </w:rPr>
        <w:drawing>
          <wp:inline distT="0" distB="0" distL="114300" distR="114300">
            <wp:extent cx="4234180" cy="2792095"/>
            <wp:effectExtent l="0" t="0" r="0" b="0"/>
            <wp:docPr id="4" name="图表 6"/>
            <wp:cNvGraphicFramePr>
              <a:graphicFrameLocks noChangeAspect="0"/>
            </wp:cNvGraphicFramePr>
            <a:graphic>
              <a:graphicData uri="http://schemas.openxmlformats.org/drawingml/2006/chart">
                <c:chart xmlns:c="http://schemas.openxmlformats.org/drawingml/2006/chart" r:id="rId7"/>
              </a:graphicData>
            </a:graphic>
          </wp:inline>
        </w:drawing>
      </w:r>
    </w:p>
    <w:p>
      <w:pPr>
        <w:spacing w:line="600" w:lineRule="exact"/>
        <w:ind w:firstLineChars="300" w:firstLine="960"/>
        <w:rPr>
          <w:rFonts w:ascii="仿宋" w:eastAsia="仿宋" w:hAnsi="仿宋"/>
          <w:sz w:val="32"/>
          <w:szCs w:val="32"/>
        </w:rPr>
      </w:pPr>
      <w:r>
        <w:rPr>
          <w:rFonts w:ascii="仿宋" w:eastAsia="仿宋" w:hAnsi="仿宋" w:hint="eastAsia"/>
          <w:sz w:val="32"/>
          <w:szCs w:val="32"/>
        </w:rPr>
        <w:t>图4：财政拨款收、支决算总计变动情况</w:t>
      </w:r>
    </w:p>
    <w:p>
      <w:pPr>
        <w:spacing w:line="600" w:lineRule="exact"/>
        <w:ind w:firstLine="640"/>
        <w:rPr>
          <w:rFonts w:ascii="仿宋" w:eastAsia="仿宋" w:hAnsi="仿宋"/>
          <w:b/>
          <w:sz w:val="32"/>
          <w:szCs w:val="32"/>
        </w:rPr>
      </w:pPr>
    </w:p>
    <w:p>
      <w:pPr>
        <w:pStyle w:val="35"/>
        <w:numPr>
          <w:ilvl w:val="0"/>
          <w:numId w:val="2"/>
        </w:numPr>
        <w:spacing w:line="600" w:lineRule="exact"/>
        <w:ind w:firstLineChars="0"/>
        <w:outlineLvl w:val="1"/>
        <w:rPr>
          <w:rFonts w:ascii="黑体" w:eastAsia="黑体" w:hAnsi="黑体" w:hint="eastAsia"/>
          <w:sz w:val="32"/>
          <w:szCs w:val="32"/>
        </w:rPr>
      </w:pPr>
      <w:bookmarkStart w:id="45" w:name="_Toc15396607"/>
      <w:bookmarkStart w:id="46" w:name="_Toc28953"/>
      <w:bookmarkStart w:id="47" w:name="_Toc15377209"/>
      <w:r>
        <w:rPr>
          <w:rFonts w:ascii="黑体" w:eastAsia="黑体" w:hAnsi="黑体" w:hint="eastAsia"/>
          <w:sz w:val="32"/>
          <w:szCs w:val="32"/>
        </w:rPr>
        <w:t>一般公共预算财政拨款支出决算情况说明</w:t>
      </w:r>
      <w:bookmarkEnd w:id="45"/>
      <w:bookmarkEnd w:id="46"/>
      <w:bookmarkEnd w:id="47"/>
    </w:p>
    <w:p>
      <w:pPr>
        <w:spacing w:line="600" w:lineRule="exact"/>
        <w:ind w:firstLineChars="200" w:firstLine="640"/>
        <w:outlineLvl w:val="2"/>
        <w:rPr>
          <w:rFonts w:ascii="仿宋" w:eastAsia="仿宋" w:hAnsi="仿宋" w:hint="eastAsia"/>
          <w:b/>
          <w:sz w:val="32"/>
          <w:szCs w:val="32"/>
        </w:rPr>
      </w:pPr>
      <w:bookmarkStart w:id="48" w:name="_Toc15377210"/>
      <w:r>
        <w:rPr>
          <w:rFonts w:ascii="仿宋" w:eastAsia="仿宋" w:hAnsi="仿宋" w:hint="eastAsia"/>
          <w:b/>
          <w:sz w:val="32"/>
          <w:szCs w:val="32"/>
        </w:rPr>
        <w:t>（一）一般公共预算财政拨款支出决算总体情况</w:t>
      </w:r>
      <w:bookmarkEnd w:id="48"/>
    </w:p>
    <w:p>
      <w:pPr>
        <w:spacing w:line="600" w:lineRule="exact"/>
        <w:ind w:firstLine="640"/>
        <w:rPr>
          <w:rFonts w:ascii="仿宋" w:eastAsia="仿宋" w:hAnsi="仿宋"/>
          <w:b/>
          <w:sz w:val="32"/>
          <w:szCs w:val="32"/>
        </w:rPr>
      </w:pPr>
      <w:r>
        <w:rPr>
          <w:rFonts w:ascii="仿宋" w:eastAsia="仿宋" w:hAnsi="仿宋" w:hint="eastAsia"/>
          <w:sz w:val="32"/>
          <w:szCs w:val="32"/>
          <w:lang w:eastAsia="zh-CN"/>
        </w:rPr>
        <w:t>2022年一般公共预算财政拨款支出</w:t>
      </w:r>
      <w:r>
        <w:rPr>
          <w:rFonts w:ascii="仿宋" w:eastAsia="仿宋" w:hAnsi="仿宋" w:hint="eastAsia"/>
          <w:sz w:val="32"/>
          <w:szCs w:val="32"/>
          <w:lang w:val="en-US" w:eastAsia="zh-CN"/>
        </w:rPr>
        <w:t>583.69</w:t>
      </w:r>
      <w:r>
        <w:rPr>
          <w:rFonts w:ascii="仿宋" w:eastAsia="仿宋" w:hAnsi="仿宋" w:hint="eastAsia"/>
          <w:sz w:val="32"/>
          <w:szCs w:val="32"/>
          <w:lang w:eastAsia="zh-CN"/>
        </w:rPr>
        <w:t>万元，占本年支出合计的</w:t>
      </w:r>
      <w:r>
        <w:rPr>
          <w:rFonts w:ascii="仿宋" w:eastAsia="仿宋" w:hAnsi="仿宋" w:hint="eastAsia"/>
          <w:sz w:val="32"/>
          <w:szCs w:val="32"/>
          <w:lang w:val="en-US" w:eastAsia="zh-CN"/>
        </w:rPr>
        <w:t>100</w:t>
      </w:r>
      <w:r>
        <w:rPr>
          <w:rFonts w:ascii="仿宋" w:eastAsia="仿宋" w:hAnsi="仿宋" w:hint="eastAsia"/>
          <w:sz w:val="32"/>
          <w:szCs w:val="32"/>
          <w:lang w:eastAsia="zh-CN"/>
        </w:rPr>
        <w:t>%。与2021年相比，一般公共预算财政拨款支出减少</w:t>
      </w:r>
      <w:r>
        <w:rPr>
          <w:rFonts w:ascii="仿宋" w:eastAsia="仿宋" w:hAnsi="仿宋" w:hint="eastAsia"/>
          <w:sz w:val="32"/>
          <w:szCs w:val="32"/>
          <w:lang w:val="en-US" w:eastAsia="zh-CN"/>
        </w:rPr>
        <w:t>28.91</w:t>
      </w:r>
      <w:r>
        <w:rPr>
          <w:rFonts w:ascii="仿宋" w:eastAsia="仿宋" w:hAnsi="仿宋" w:hint="eastAsia"/>
          <w:sz w:val="32"/>
          <w:szCs w:val="32"/>
          <w:lang w:eastAsia="zh-CN"/>
        </w:rPr>
        <w:t>万元，下降</w:t>
      </w:r>
      <w:r>
        <w:rPr>
          <w:rFonts w:ascii="仿宋" w:eastAsia="仿宋" w:hAnsi="仿宋" w:hint="eastAsia"/>
          <w:sz w:val="32"/>
          <w:szCs w:val="32"/>
          <w:lang w:val="en-US" w:eastAsia="zh-CN"/>
        </w:rPr>
        <w:t>4.72</w:t>
      </w:r>
      <w:r>
        <w:rPr>
          <w:rFonts w:ascii="仿宋" w:eastAsia="仿宋" w:hAnsi="仿宋" w:hint="eastAsia"/>
          <w:sz w:val="32"/>
          <w:szCs w:val="32"/>
          <w:lang w:eastAsia="zh-CN"/>
        </w:rPr>
        <w:t>%。主要变动原因是</w:t>
      </w:r>
      <w:r>
        <w:rPr>
          <w:rFonts w:ascii="仿宋" w:eastAsia="仿宋" w:hAnsi="仿宋" w:hint="eastAsia"/>
          <w:sz w:val="32"/>
          <w:szCs w:val="32"/>
          <w:lang w:val="en-US" w:eastAsia="zh-CN"/>
        </w:rPr>
        <w:t>上年度预算执行中追加了项目支出预算，</w:t>
      </w:r>
      <w:r>
        <w:rPr>
          <w:rFonts w:ascii="仿宋" w:eastAsia="仿宋" w:hAnsi="仿宋"/>
          <w:sz w:val="32"/>
          <w:szCs w:val="32"/>
          <w:lang w:val="en-US" w:eastAsia="zh-CN"/>
        </w:rPr>
        <w:t>2022</w:t>
      </w:r>
      <w:r>
        <w:rPr>
          <w:rFonts w:ascii="仿宋" w:eastAsia="仿宋" w:hAnsi="仿宋" w:hint="eastAsia"/>
          <w:sz w:val="32"/>
          <w:szCs w:val="32"/>
          <w:lang w:val="en-US" w:eastAsia="zh-CN"/>
        </w:rPr>
        <w:t>年度项目支出较少，因此</w:t>
      </w:r>
      <w:r>
        <w:rPr>
          <w:rFonts w:ascii="仿宋" w:eastAsia="仿宋" w:hAnsi="仿宋"/>
          <w:sz w:val="32"/>
          <w:szCs w:val="32"/>
          <w:lang w:val="en-US" w:eastAsia="zh-CN"/>
        </w:rPr>
        <w:t>2022</w:t>
      </w:r>
      <w:r>
        <w:rPr>
          <w:rFonts w:ascii="仿宋" w:eastAsia="仿宋" w:hAnsi="仿宋" w:hint="eastAsia"/>
          <w:sz w:val="32"/>
          <w:szCs w:val="32"/>
          <w:lang w:val="en-US" w:eastAsia="zh-CN"/>
        </w:rPr>
        <w:t>年</w:t>
      </w:r>
      <w:r>
        <w:rPr>
          <w:rFonts w:ascii="仿宋" w:eastAsia="仿宋" w:hAnsi="仿宋" w:hint="eastAsia"/>
          <w:sz w:val="32"/>
          <w:szCs w:val="32"/>
          <w:lang w:eastAsia="zh-CN"/>
        </w:rPr>
        <w:t>一般公共预算财政拨款支出</w:t>
      </w:r>
      <w:r>
        <w:rPr>
          <w:rFonts w:ascii="仿宋" w:eastAsia="仿宋" w:hAnsi="仿宋" w:hint="eastAsia"/>
          <w:sz w:val="32"/>
          <w:szCs w:val="32"/>
          <w:lang w:val="en-US" w:eastAsia="zh-CN"/>
        </w:rPr>
        <w:t>数同比减少。</w:t>
      </w:r>
    </w:p>
    <w:p>
      <w:pPr>
        <w:keepNext w:val="0"/>
        <w:keepLines w:val="0"/>
        <w:pageBreakBefore w:val="0"/>
        <w:widowControl w:val="0"/>
        <w:kinsoku/>
        <w:wordWrap/>
        <w:overflowPunct/>
        <w:topLinePunct w:val="0"/>
        <w:autoSpaceDE/>
        <w:autoSpaceDN/>
        <w:bidi w:val="0"/>
        <w:adjustRightInd/>
        <w:snapToGrid/>
        <w:spacing w:line="240" w:lineRule="auto"/>
        <w:ind w:firstLineChars="200" w:firstLine="640"/>
        <w:textAlignment w:val="auto"/>
        <w:rPr>
          <w:rFonts w:ascii="仿宋" w:eastAsia="仿宋" w:hAnsi="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Chars="200" w:firstLine="640"/>
        <w:textAlignment w:val="auto"/>
        <w:rPr>
          <w:rFonts w:ascii="仿宋" w:eastAsia="仿宋" w:hAnsi="仿宋" w:hint="eastAsia"/>
          <w:sz w:val="32"/>
          <w:szCs w:val="32"/>
          <w:lang w:eastAsia="zh-CN"/>
        </w:rPr>
      </w:pPr>
      <w:r>
        <w:rPr>
          <w:rFonts w:ascii="仿宋" w:eastAsia="仿宋" w:hAnsi="仿宋" w:hint="eastAsia"/>
          <w:sz w:val="32"/>
          <w:szCs w:val="32"/>
          <w:lang w:eastAsia="zh-CN"/>
        </w:rPr>
        <w:drawing>
          <wp:inline distT="0" distB="0" distL="114300" distR="114300">
            <wp:extent cx="4518660" cy="2877185"/>
            <wp:effectExtent l="0" t="0" r="0" b="0"/>
            <wp:docPr id="5" name="图表 7"/>
            <wp:cNvGraphicFramePr>
              <a:graphicFrameLocks noChangeAspect="0"/>
            </wp:cNvGraphicFramePr>
            <a:graphic>
              <a:graphicData uri="http://schemas.openxmlformats.org/drawingml/2006/chart">
                <c:chart xmlns:c="http://schemas.openxmlformats.org/drawingml/2006/chart" r:id="rId8"/>
              </a:graphicData>
            </a:graphic>
          </wp:inline>
        </w:drawing>
      </w:r>
    </w:p>
    <w:p>
      <w:pPr>
        <w:spacing w:line="600" w:lineRule="exact"/>
        <w:ind w:firstLineChars="400" w:firstLine="1280"/>
        <w:rPr>
          <w:rFonts w:ascii="仿宋" w:eastAsia="仿宋" w:hAnsi="仿宋"/>
          <w:sz w:val="32"/>
          <w:szCs w:val="32"/>
        </w:rPr>
      </w:pPr>
      <w:r>
        <w:rPr>
          <w:rFonts w:ascii="仿宋" w:eastAsia="仿宋" w:hAnsi="仿宋" w:hint="eastAsia"/>
          <w:sz w:val="32"/>
          <w:szCs w:val="32"/>
        </w:rPr>
        <w:t>图5：一般公共预算财政拨款支出决算变动情况</w:t>
      </w:r>
    </w:p>
    <w:p>
      <w:pPr>
        <w:spacing w:line="600" w:lineRule="exact"/>
        <w:ind w:firstLineChars="200" w:firstLine="640"/>
        <w:rPr>
          <w:rFonts w:ascii="仿宋" w:eastAsia="仿宋" w:hAnsi="仿宋"/>
          <w:sz w:val="32"/>
          <w:szCs w:val="32"/>
        </w:rPr>
      </w:pPr>
    </w:p>
    <w:p>
      <w:pPr>
        <w:spacing w:line="600" w:lineRule="exact"/>
        <w:ind w:firstLineChars="200" w:firstLine="640"/>
        <w:outlineLvl w:val="2"/>
        <w:rPr>
          <w:rFonts w:ascii="仿宋" w:eastAsia="仿宋" w:hAnsi="仿宋" w:hint="eastAsia"/>
          <w:b/>
          <w:sz w:val="32"/>
          <w:szCs w:val="32"/>
        </w:rPr>
      </w:pPr>
      <w:bookmarkStart w:id="49" w:name="_Toc15377211"/>
      <w:r>
        <w:rPr>
          <w:rFonts w:ascii="仿宋" w:eastAsia="仿宋" w:hAnsi="仿宋" w:hint="eastAsia"/>
          <w:b/>
          <w:sz w:val="32"/>
          <w:szCs w:val="32"/>
        </w:rPr>
        <w:t>（二）一般公共预算财政拨款支出决算结构情况</w:t>
      </w:r>
      <w:bookmarkEnd w:id="49"/>
    </w:p>
    <w:p>
      <w:pPr>
        <w:spacing w:line="600" w:lineRule="exact"/>
        <w:ind w:firstLine="640"/>
        <w:rPr>
          <w:rFonts w:ascii="仿宋" w:eastAsia="仿宋" w:hAnsi="仿宋"/>
          <w:sz w:val="32"/>
          <w:szCs w:val="32"/>
        </w:rPr>
      </w:pPr>
      <w:r>
        <w:rPr>
          <w:rFonts w:ascii="仿宋" w:eastAsia="仿宋" w:hAnsi="仿宋" w:hint="eastAsia"/>
          <w:sz w:val="32"/>
          <w:szCs w:val="32"/>
        </w:rPr>
        <w:t>2022年一般公共预算财政拨款支出</w:t>
      </w:r>
      <w:r>
        <w:rPr>
          <w:rFonts w:ascii="仿宋" w:eastAsia="仿宋" w:hAnsi="仿宋" w:hint="eastAsia"/>
          <w:sz w:val="32"/>
          <w:szCs w:val="32"/>
          <w:lang w:val="en-US" w:eastAsia="zh-CN"/>
        </w:rPr>
        <w:t>583.69</w:t>
      </w:r>
      <w:r>
        <w:rPr>
          <w:rFonts w:ascii="仿宋" w:eastAsia="仿宋" w:hAnsi="仿宋" w:hint="eastAsia"/>
          <w:sz w:val="32"/>
          <w:szCs w:val="32"/>
        </w:rPr>
        <w:t>万元，主要用于以下方面:</w:t>
      </w:r>
      <w:r>
        <w:rPr>
          <w:rFonts w:ascii="仿宋" w:eastAsia="仿宋" w:hAnsi="仿宋" w:hint="eastAsia"/>
          <w:b/>
          <w:bCs/>
          <w:sz w:val="32"/>
          <w:szCs w:val="32"/>
        </w:rPr>
        <w:t>一般公共服务支出</w:t>
      </w:r>
      <w:r>
        <w:rPr>
          <w:rFonts w:ascii="仿宋" w:eastAsia="仿宋" w:hAnsi="仿宋" w:hint="eastAsia"/>
          <w:sz w:val="32"/>
          <w:szCs w:val="32"/>
          <w:lang w:val="en-US" w:eastAsia="zh-CN"/>
        </w:rPr>
        <w:t>424.54</w:t>
      </w:r>
      <w:r>
        <w:rPr>
          <w:rFonts w:ascii="仿宋" w:eastAsia="仿宋" w:hAnsi="仿宋" w:hint="eastAsia"/>
          <w:sz w:val="32"/>
          <w:szCs w:val="32"/>
        </w:rPr>
        <w:t>万元，占</w:t>
      </w:r>
      <w:r>
        <w:rPr>
          <w:rFonts w:ascii="仿宋" w:eastAsia="仿宋" w:hAnsi="仿宋" w:hint="eastAsia"/>
          <w:sz w:val="32"/>
          <w:szCs w:val="32"/>
          <w:lang w:val="en-US" w:eastAsia="zh-CN"/>
        </w:rPr>
        <w:t>72.73</w:t>
      </w:r>
      <w:r>
        <w:rPr>
          <w:rFonts w:ascii="仿宋" w:eastAsia="仿宋" w:hAnsi="仿宋" w:hint="eastAsia"/>
          <w:sz w:val="32"/>
          <w:szCs w:val="32"/>
        </w:rPr>
        <w:t>%；</w:t>
      </w:r>
      <w:r>
        <w:rPr>
          <w:rFonts w:ascii="仿宋" w:eastAsia="仿宋" w:hAnsi="仿宋" w:hint="eastAsia"/>
          <w:b/>
          <w:bCs/>
          <w:sz w:val="32"/>
          <w:szCs w:val="32"/>
        </w:rPr>
        <w:t>社会保障和就业支出</w:t>
      </w:r>
      <w:r>
        <w:rPr>
          <w:rFonts w:ascii="仿宋" w:eastAsia="仿宋" w:hAnsi="仿宋" w:hint="eastAsia"/>
          <w:sz w:val="32"/>
          <w:szCs w:val="32"/>
          <w:lang w:val="en-US" w:eastAsia="zh-CN"/>
        </w:rPr>
        <w:t>117.82</w:t>
      </w:r>
      <w:r>
        <w:rPr>
          <w:rFonts w:ascii="仿宋" w:eastAsia="仿宋" w:hAnsi="仿宋" w:hint="eastAsia"/>
          <w:sz w:val="32"/>
          <w:szCs w:val="32"/>
        </w:rPr>
        <w:t>万元，占</w:t>
      </w:r>
      <w:r>
        <w:rPr>
          <w:rFonts w:ascii="仿宋" w:eastAsia="仿宋" w:hAnsi="仿宋" w:hint="eastAsia"/>
          <w:sz w:val="32"/>
          <w:szCs w:val="32"/>
          <w:lang w:val="en-US" w:eastAsia="zh-CN"/>
        </w:rPr>
        <w:t>20.19</w:t>
      </w:r>
      <w:r>
        <w:rPr>
          <w:rFonts w:ascii="仿宋" w:eastAsia="仿宋" w:hAnsi="仿宋" w:hint="eastAsia"/>
          <w:sz w:val="32"/>
          <w:szCs w:val="32"/>
        </w:rPr>
        <w:t>%；</w:t>
      </w:r>
      <w:r>
        <w:rPr>
          <w:rFonts w:ascii="仿宋" w:eastAsia="仿宋" w:hAnsi="仿宋" w:hint="eastAsia"/>
          <w:b/>
          <w:bCs/>
          <w:sz w:val="32"/>
          <w:szCs w:val="32"/>
        </w:rPr>
        <w:t>住房保障支出</w:t>
      </w:r>
      <w:r>
        <w:rPr>
          <w:rFonts w:ascii="仿宋" w:eastAsia="仿宋" w:hAnsi="仿宋" w:hint="eastAsia"/>
          <w:sz w:val="32"/>
          <w:szCs w:val="32"/>
          <w:lang w:val="en-US" w:eastAsia="zh-CN"/>
        </w:rPr>
        <w:t>41.33</w:t>
      </w:r>
      <w:r>
        <w:rPr>
          <w:rFonts w:ascii="仿宋" w:eastAsia="仿宋" w:hAnsi="仿宋" w:hint="eastAsia"/>
          <w:sz w:val="32"/>
          <w:szCs w:val="32"/>
        </w:rPr>
        <w:t>万元，占</w:t>
      </w:r>
      <w:r>
        <w:rPr>
          <w:rFonts w:ascii="仿宋" w:eastAsia="仿宋" w:hAnsi="仿宋" w:hint="eastAsia"/>
          <w:sz w:val="32"/>
          <w:szCs w:val="32"/>
          <w:lang w:val="en-US" w:eastAsia="zh-CN"/>
        </w:rPr>
        <w:t>7.08</w:t>
      </w:r>
      <w:r>
        <w:rPr>
          <w:rFonts w:ascii="仿宋" w:eastAsia="仿宋" w:hAnsi="仿宋" w:hint="eastAsia"/>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ascii="仿宋" w:eastAsia="仿宋" w:hAnsi="仿宋" w:hint="eastAsia"/>
          <w:sz w:val="32"/>
          <w:szCs w:val="32"/>
          <w:lang w:eastAsia="zh-CN"/>
        </w:rPr>
      </w:pPr>
      <w:r>
        <w:rPr>
          <w:rFonts w:ascii="仿宋" w:eastAsia="仿宋" w:hAnsi="仿宋" w:hint="eastAsia"/>
          <w:sz w:val="32"/>
          <w:szCs w:val="32"/>
          <w:lang w:eastAsia="zh-CN"/>
        </w:rPr>
        <w:drawing>
          <wp:inline distT="0" distB="0" distL="114300" distR="114300">
            <wp:extent cx="4442460" cy="3030855"/>
            <wp:effectExtent l="0" t="0" r="0" b="0"/>
            <wp:docPr id="6" name="图表 8"/>
            <wp:cNvGraphicFramePr>
              <a:graphicFrameLocks noChangeAspect="0"/>
            </wp:cNvGraphicFramePr>
            <a:graphic>
              <a:graphicData uri="http://schemas.openxmlformats.org/drawingml/2006/chart">
                <c:chart xmlns:c="http://schemas.openxmlformats.org/drawingml/2006/chart" r:id="rId9"/>
              </a:graphicData>
            </a:graphic>
          </wp:inline>
        </w:drawing>
      </w:r>
    </w:p>
    <w:p>
      <w:pPr>
        <w:spacing w:line="600" w:lineRule="exact"/>
        <w:ind w:firstLineChars="500" w:firstLine="1600"/>
        <w:rPr>
          <w:rFonts w:ascii="仿宋" w:eastAsia="仿宋" w:hAnsi="仿宋"/>
          <w:sz w:val="32"/>
          <w:szCs w:val="32"/>
        </w:rPr>
      </w:pPr>
      <w:r>
        <w:rPr>
          <w:rFonts w:ascii="仿宋" w:eastAsia="仿宋" w:hAnsi="仿宋" w:hint="eastAsia"/>
          <w:sz w:val="32"/>
          <w:szCs w:val="32"/>
        </w:rPr>
        <w:t>图6：一般公共预算财政拨款支出决算结构</w:t>
      </w:r>
    </w:p>
    <w:p>
      <w:pPr>
        <w:spacing w:line="600" w:lineRule="exact"/>
        <w:ind w:firstLineChars="200" w:firstLine="640"/>
        <w:outlineLvl w:val="2"/>
        <w:rPr>
          <w:rFonts w:ascii="仿宋" w:eastAsia="仿宋" w:hAnsi="仿宋" w:hint="eastAsia"/>
          <w:b/>
          <w:sz w:val="32"/>
          <w:szCs w:val="32"/>
        </w:rPr>
      </w:pPr>
      <w:bookmarkStart w:id="50" w:name="_Toc15377212"/>
      <w:r>
        <w:rPr>
          <w:rFonts w:ascii="仿宋" w:eastAsia="仿宋" w:hAnsi="仿宋" w:hint="eastAsia"/>
          <w:b/>
          <w:sz w:val="32"/>
          <w:szCs w:val="32"/>
        </w:rPr>
        <w:t>（三）一般公共预算财政拨款支出决算具体情况</w:t>
      </w:r>
      <w:bookmarkEnd w:id="50"/>
    </w:p>
    <w:p>
      <w:pPr>
        <w:spacing w:line="600" w:lineRule="exact"/>
        <w:ind w:firstLineChars="200" w:firstLine="640"/>
        <w:outlineLvl w:val="2"/>
        <w:rPr>
          <w:rFonts w:ascii="仿宋" w:eastAsia="仿宋" w:hAnsi="仿宋"/>
          <w:sz w:val="32"/>
          <w:szCs w:val="32"/>
        </w:rPr>
      </w:pPr>
      <w:bookmarkStart w:id="51" w:name="_Toc15377213"/>
      <w:bookmarkStart w:id="52" w:name="_Toc15378460"/>
      <w:bookmarkStart w:id="53" w:name="_Toc15377444"/>
      <w:r>
        <w:rPr>
          <w:rFonts w:ascii="仿宋" w:eastAsia="仿宋" w:hAnsi="仿宋" w:hint="eastAsia"/>
          <w:b/>
          <w:sz w:val="32"/>
          <w:szCs w:val="32"/>
        </w:rPr>
        <w:t>2022年一般公共预算支出决算数为</w:t>
      </w:r>
      <w:r>
        <w:rPr>
          <w:rFonts w:ascii="仿宋" w:eastAsia="仿宋" w:hAnsi="仿宋" w:hint="eastAsia"/>
          <w:b/>
          <w:sz w:val="32"/>
          <w:szCs w:val="32"/>
          <w:lang w:val="en-US" w:eastAsia="zh-CN"/>
        </w:rPr>
        <w:t>583.69万元</w:t>
      </w:r>
      <w:r>
        <w:rPr>
          <w:rFonts w:ascii="仿宋" w:eastAsia="仿宋" w:hAnsi="仿宋" w:hint="eastAsia"/>
          <w:sz w:val="32"/>
          <w:szCs w:val="32"/>
        </w:rPr>
        <w:t>，</w:t>
      </w:r>
      <w:r>
        <w:rPr>
          <w:rStyle w:val="27"/>
          <w:rFonts w:ascii="仿宋" w:eastAsia="仿宋" w:hAnsi="仿宋" w:hint="eastAsia"/>
          <w:bCs/>
          <w:sz w:val="32"/>
          <w:szCs w:val="32"/>
        </w:rPr>
        <w:t>完成预算</w:t>
      </w:r>
      <w:r>
        <w:rPr>
          <w:rStyle w:val="27"/>
          <w:rFonts w:ascii="仿宋" w:eastAsia="仿宋" w:hAnsi="仿宋" w:hint="eastAsia"/>
          <w:bCs/>
          <w:sz w:val="32"/>
          <w:szCs w:val="32"/>
          <w:lang w:val="en-US" w:eastAsia="zh-CN"/>
        </w:rPr>
        <w:t>100</w:t>
      </w:r>
      <w:r>
        <w:rPr>
          <w:rStyle w:val="27"/>
          <w:rFonts w:ascii="仿宋" w:eastAsia="仿宋" w:hAnsi="仿宋"/>
          <w:bCs/>
          <w:sz w:val="32"/>
          <w:szCs w:val="32"/>
        </w:rPr>
        <w:t>%</w:t>
      </w:r>
      <w:r>
        <w:rPr>
          <w:rStyle w:val="27"/>
          <w:rFonts w:ascii="仿宋" w:eastAsia="仿宋" w:hAnsi="仿宋" w:hint="eastAsia"/>
          <w:bCs/>
          <w:sz w:val="32"/>
          <w:szCs w:val="32"/>
        </w:rPr>
        <w:t>。其中：</w:t>
      </w:r>
      <w:bookmarkEnd w:id="51"/>
      <w:bookmarkEnd w:id="52"/>
      <w:bookmarkEnd w:id="53"/>
    </w:p>
    <w:p>
      <w:pPr>
        <w:spacing w:line="600" w:lineRule="exact"/>
        <w:ind w:firstLineChars="200" w:firstLine="640"/>
        <w:rPr>
          <w:rFonts w:ascii="仿宋" w:eastAsia="仿宋" w:hAnsi="仿宋"/>
          <w:b/>
          <w:sz w:val="32"/>
          <w:szCs w:val="32"/>
        </w:rPr>
      </w:pPr>
      <w:r>
        <w:rPr>
          <w:rStyle w:val="27"/>
          <w:rFonts w:ascii="仿宋" w:eastAsia="仿宋" w:hAnsi="仿宋"/>
          <w:bCs/>
          <w:sz w:val="32"/>
          <w:szCs w:val="32"/>
        </w:rPr>
        <w:t>1.</w:t>
      </w:r>
      <w:r>
        <w:rPr>
          <w:rStyle w:val="54"/>
          <w:rFonts w:ascii="仿宋" w:eastAsia="仿宋" w:hint="eastAsia"/>
          <w:sz w:val="32"/>
          <w:szCs w:val="32"/>
        </w:rPr>
        <w:t>一般公共服务（类）群众团体事务（款） 行政运行（项）:</w:t>
      </w:r>
      <w:r>
        <w:rPr>
          <w:rStyle w:val="27"/>
          <w:rFonts w:ascii="仿宋" w:eastAsia="仿宋" w:hAnsi="仿宋"/>
          <w:b w:val="0"/>
          <w:bCs/>
          <w:sz w:val="32"/>
          <w:szCs w:val="32"/>
        </w:rPr>
        <w:t xml:space="preserve"> </w:t>
      </w:r>
      <w:r>
        <w:rPr>
          <w:rStyle w:val="27"/>
          <w:rFonts w:ascii="仿宋" w:eastAsia="仿宋" w:hAnsi="仿宋" w:hint="eastAsia"/>
          <w:b w:val="0"/>
          <w:bCs/>
          <w:sz w:val="32"/>
          <w:szCs w:val="32"/>
        </w:rPr>
        <w:t>支出决算为</w:t>
      </w:r>
      <w:r>
        <w:rPr>
          <w:rStyle w:val="27"/>
          <w:rFonts w:ascii="仿宋" w:eastAsia="仿宋" w:hAnsi="仿宋" w:hint="eastAsia"/>
          <w:b w:val="0"/>
          <w:bCs/>
          <w:sz w:val="32"/>
          <w:szCs w:val="32"/>
          <w:lang w:val="en-US" w:eastAsia="zh-CN"/>
        </w:rPr>
        <w:t>172.81</w:t>
      </w:r>
      <w:r>
        <w:rPr>
          <w:rStyle w:val="27"/>
          <w:rFonts w:ascii="仿宋" w:eastAsia="仿宋" w:hAnsi="仿宋" w:hint="eastAsia"/>
          <w:b w:val="0"/>
          <w:bCs/>
          <w:sz w:val="32"/>
          <w:szCs w:val="32"/>
        </w:rPr>
        <w:t>万元，完成预算</w:t>
      </w:r>
      <w:r>
        <w:rPr>
          <w:rStyle w:val="27"/>
          <w:rFonts w:ascii="仿宋" w:eastAsia="仿宋" w:hAnsi="仿宋" w:hint="eastAsia"/>
          <w:b w:val="0"/>
          <w:bCs/>
          <w:sz w:val="32"/>
          <w:szCs w:val="32"/>
          <w:lang w:val="en-US" w:eastAsia="zh-CN"/>
        </w:rPr>
        <w:t>100</w:t>
      </w:r>
      <w:r>
        <w:rPr>
          <w:rStyle w:val="27"/>
          <w:rFonts w:ascii="仿宋" w:eastAsia="仿宋" w:hAnsi="仿宋"/>
          <w:b w:val="0"/>
          <w:bCs/>
          <w:sz w:val="32"/>
          <w:szCs w:val="32"/>
        </w:rPr>
        <w:t>%</w:t>
      </w:r>
      <w:r>
        <w:rPr>
          <w:rStyle w:val="27"/>
          <w:rFonts w:ascii="仿宋" w:eastAsia="仿宋" w:hAnsi="仿宋" w:hint="eastAsia"/>
          <w:b w:val="0"/>
          <w:bCs/>
          <w:sz w:val="32"/>
          <w:szCs w:val="32"/>
        </w:rPr>
        <w:t>。</w:t>
      </w:r>
    </w:p>
    <w:p>
      <w:pPr>
        <w:spacing w:line="600" w:lineRule="exact"/>
        <w:ind w:firstLineChars="200" w:firstLine="640"/>
        <w:rPr>
          <w:rFonts w:ascii="仿宋" w:eastAsia="仿宋" w:hAnsi="仿宋"/>
          <w:b/>
          <w:sz w:val="32"/>
          <w:szCs w:val="32"/>
        </w:rPr>
      </w:pPr>
      <w:r>
        <w:rPr>
          <w:rStyle w:val="27"/>
          <w:rFonts w:ascii="仿宋" w:eastAsia="仿宋" w:hAnsi="仿宋"/>
          <w:bCs/>
          <w:sz w:val="32"/>
          <w:szCs w:val="32"/>
        </w:rPr>
        <w:t>2.</w:t>
      </w:r>
      <w:r>
        <w:rPr>
          <w:rStyle w:val="54"/>
          <w:rFonts w:ascii="仿宋" w:eastAsia="仿宋" w:hint="eastAsia"/>
          <w:sz w:val="32"/>
          <w:szCs w:val="32"/>
        </w:rPr>
        <w:t>一般公共服务（类）群众团体事务（款）事业运行（项）:</w:t>
      </w:r>
      <w:r>
        <w:rPr>
          <w:rStyle w:val="27"/>
          <w:rFonts w:ascii="仿宋" w:eastAsia="仿宋" w:hAnsi="仿宋"/>
          <w:b w:val="0"/>
          <w:bCs/>
          <w:sz w:val="32"/>
          <w:szCs w:val="32"/>
        </w:rPr>
        <w:t xml:space="preserve"> </w:t>
      </w:r>
      <w:r>
        <w:rPr>
          <w:rStyle w:val="27"/>
          <w:rFonts w:ascii="仿宋" w:eastAsia="仿宋" w:hAnsi="仿宋" w:hint="eastAsia"/>
          <w:b w:val="0"/>
          <w:bCs/>
          <w:sz w:val="32"/>
          <w:szCs w:val="32"/>
        </w:rPr>
        <w:t>支出决算为</w:t>
      </w:r>
      <w:r>
        <w:rPr>
          <w:rStyle w:val="27"/>
          <w:rFonts w:ascii="仿宋" w:eastAsia="仿宋" w:hAnsi="仿宋" w:hint="eastAsia"/>
          <w:b w:val="0"/>
          <w:bCs/>
          <w:sz w:val="32"/>
          <w:szCs w:val="32"/>
          <w:lang w:val="en-US" w:eastAsia="zh-CN"/>
        </w:rPr>
        <w:t>231.73</w:t>
      </w:r>
      <w:r>
        <w:rPr>
          <w:rStyle w:val="27"/>
          <w:rFonts w:ascii="仿宋" w:eastAsia="仿宋" w:hAnsi="仿宋" w:hint="eastAsia"/>
          <w:b w:val="0"/>
          <w:bCs/>
          <w:sz w:val="32"/>
          <w:szCs w:val="32"/>
        </w:rPr>
        <w:t>万元，完成预算</w:t>
      </w:r>
      <w:r>
        <w:rPr>
          <w:rStyle w:val="27"/>
          <w:rFonts w:ascii="仿宋" w:eastAsia="仿宋" w:hAnsi="仿宋" w:hint="eastAsia"/>
          <w:b w:val="0"/>
          <w:bCs/>
          <w:sz w:val="32"/>
          <w:szCs w:val="32"/>
          <w:lang w:val="en-US" w:eastAsia="zh-CN"/>
        </w:rPr>
        <w:t>100</w:t>
      </w:r>
      <w:r>
        <w:rPr>
          <w:rStyle w:val="27"/>
          <w:rFonts w:ascii="仿宋" w:eastAsia="仿宋" w:hAnsi="仿宋" w:hint="eastAsia"/>
          <w:b w:val="0"/>
          <w:bCs/>
          <w:sz w:val="32"/>
          <w:szCs w:val="32"/>
        </w:rPr>
        <w:t>%。</w:t>
      </w:r>
    </w:p>
    <w:p>
      <w:pPr>
        <w:spacing w:line="600" w:lineRule="exact"/>
        <w:ind w:firstLineChars="200" w:firstLine="640"/>
        <w:rPr>
          <w:rFonts w:ascii="仿宋" w:eastAsia="仿宋" w:hAnsi="仿宋"/>
          <w:b/>
          <w:sz w:val="32"/>
          <w:szCs w:val="32"/>
        </w:rPr>
      </w:pPr>
      <w:r>
        <w:rPr>
          <w:rStyle w:val="27"/>
          <w:rFonts w:ascii="仿宋" w:eastAsia="仿宋" w:hAnsi="仿宋"/>
          <w:bCs/>
          <w:sz w:val="32"/>
          <w:szCs w:val="32"/>
        </w:rPr>
        <w:t>3.</w:t>
      </w:r>
      <w:r>
        <w:rPr>
          <w:rStyle w:val="54"/>
          <w:rFonts w:ascii="仿宋" w:eastAsia="仿宋" w:hint="eastAsia"/>
          <w:sz w:val="32"/>
          <w:szCs w:val="32"/>
        </w:rPr>
        <w:t>一般公共服务（类）群众团体事务（款）</w:t>
      </w:r>
      <w:r>
        <w:rPr>
          <w:rStyle w:val="27"/>
          <w:rFonts w:ascii="仿宋" w:eastAsia="仿宋" w:hAnsi="仿宋" w:hint="eastAsia"/>
          <w:bCs/>
          <w:sz w:val="32"/>
          <w:szCs w:val="32"/>
          <w:lang w:eastAsia="zh-CN"/>
        </w:rPr>
        <w:t>其他群众团体事务支出</w:t>
      </w:r>
      <w:r>
        <w:rPr>
          <w:rStyle w:val="27"/>
          <w:rFonts w:ascii="仿宋" w:eastAsia="仿宋" w:hAnsi="仿宋" w:hint="eastAsia"/>
          <w:bCs/>
          <w:sz w:val="32"/>
          <w:szCs w:val="32"/>
        </w:rPr>
        <w:t>（项）</w:t>
      </w:r>
      <w:r>
        <w:rPr>
          <w:rStyle w:val="27"/>
          <w:rFonts w:ascii="仿宋" w:eastAsia="仿宋" w:hAnsi="仿宋"/>
          <w:bCs/>
          <w:sz w:val="32"/>
          <w:szCs w:val="32"/>
        </w:rPr>
        <w:t>:</w:t>
      </w:r>
      <w:r>
        <w:rPr>
          <w:rStyle w:val="27"/>
          <w:rFonts w:ascii="仿宋" w:eastAsia="仿宋" w:hAnsi="仿宋"/>
          <w:b w:val="0"/>
          <w:bCs/>
          <w:sz w:val="32"/>
          <w:szCs w:val="32"/>
        </w:rPr>
        <w:t xml:space="preserve"> </w:t>
      </w:r>
      <w:r>
        <w:rPr>
          <w:rStyle w:val="27"/>
          <w:rFonts w:ascii="仿宋" w:eastAsia="仿宋" w:hAnsi="仿宋" w:hint="eastAsia"/>
          <w:b w:val="0"/>
          <w:bCs/>
          <w:sz w:val="32"/>
          <w:szCs w:val="32"/>
        </w:rPr>
        <w:t>支出决算为</w:t>
      </w:r>
      <w:r>
        <w:rPr>
          <w:rStyle w:val="27"/>
          <w:rFonts w:ascii="仿宋" w:eastAsia="仿宋" w:hAnsi="仿宋" w:hint="eastAsia"/>
          <w:b w:val="0"/>
          <w:bCs/>
          <w:sz w:val="32"/>
          <w:szCs w:val="32"/>
          <w:lang w:val="en-US" w:eastAsia="zh-CN"/>
        </w:rPr>
        <w:t>10</w:t>
      </w:r>
      <w:r>
        <w:rPr>
          <w:rStyle w:val="27"/>
          <w:rFonts w:ascii="仿宋" w:eastAsia="仿宋" w:hAnsi="仿宋" w:hint="eastAsia"/>
          <w:b w:val="0"/>
          <w:bCs/>
          <w:sz w:val="32"/>
          <w:szCs w:val="32"/>
        </w:rPr>
        <w:t>万元，完成预算</w:t>
      </w:r>
      <w:r>
        <w:rPr>
          <w:rStyle w:val="27"/>
          <w:rFonts w:ascii="仿宋" w:eastAsia="仿宋" w:hAnsi="仿宋" w:hint="eastAsia"/>
          <w:b w:val="0"/>
          <w:bCs/>
          <w:sz w:val="32"/>
          <w:szCs w:val="32"/>
          <w:lang w:val="en-US" w:eastAsia="zh-CN"/>
        </w:rPr>
        <w:t>100</w:t>
      </w:r>
      <w:r>
        <w:rPr>
          <w:rStyle w:val="27"/>
          <w:rFonts w:ascii="仿宋" w:eastAsia="仿宋" w:hAnsi="仿宋"/>
          <w:b w:val="0"/>
          <w:bCs/>
          <w:sz w:val="32"/>
          <w:szCs w:val="32"/>
        </w:rPr>
        <w:t>%</w:t>
      </w:r>
      <w:r>
        <w:rPr>
          <w:rStyle w:val="27"/>
          <w:rFonts w:ascii="仿宋" w:eastAsia="仿宋" w:hAnsi="仿宋" w:hint="eastAsia"/>
          <w:b w:val="0"/>
          <w:bCs/>
          <w:sz w:val="32"/>
          <w:szCs w:val="32"/>
        </w:rPr>
        <w:t>。</w:t>
      </w:r>
    </w:p>
    <w:p>
      <w:pPr>
        <w:spacing w:line="600" w:lineRule="exact"/>
        <w:ind w:firstLineChars="200" w:firstLine="640"/>
        <w:rPr>
          <w:rStyle w:val="27"/>
          <w:rFonts w:ascii="仿宋" w:eastAsia="仿宋" w:hAnsi="仿宋" w:hint="eastAsia"/>
          <w:b w:val="0"/>
          <w:bCs/>
          <w:sz w:val="32"/>
          <w:szCs w:val="32"/>
        </w:rPr>
      </w:pPr>
      <w:r>
        <w:rPr>
          <w:rStyle w:val="27"/>
          <w:rFonts w:ascii="仿宋" w:eastAsia="仿宋" w:hAnsi="仿宋"/>
          <w:bCs/>
          <w:sz w:val="32"/>
          <w:szCs w:val="32"/>
        </w:rPr>
        <w:t>4.</w:t>
      </w:r>
      <w:r>
        <w:rPr>
          <w:rStyle w:val="54"/>
          <w:rFonts w:ascii="仿宋" w:eastAsia="仿宋" w:hint="eastAsia"/>
          <w:sz w:val="32"/>
          <w:szCs w:val="32"/>
        </w:rPr>
        <w:t>一般公共服务（类）</w:t>
      </w:r>
      <w:r>
        <w:rPr>
          <w:rStyle w:val="27"/>
          <w:rFonts w:ascii="仿宋" w:eastAsia="仿宋" w:hAnsi="仿宋" w:hint="eastAsia"/>
          <w:bCs/>
          <w:sz w:val="32"/>
          <w:szCs w:val="32"/>
          <w:lang w:eastAsia="zh-CN"/>
        </w:rPr>
        <w:t>宣传事务</w:t>
      </w:r>
      <w:r>
        <w:rPr>
          <w:rStyle w:val="27"/>
          <w:rFonts w:ascii="仿宋" w:eastAsia="仿宋" w:hAnsi="仿宋" w:hint="eastAsia"/>
          <w:bCs/>
          <w:sz w:val="32"/>
          <w:szCs w:val="32"/>
        </w:rPr>
        <w:t>（款）</w:t>
      </w:r>
      <w:r>
        <w:rPr>
          <w:rStyle w:val="27"/>
          <w:rFonts w:ascii="仿宋" w:eastAsia="仿宋" w:hAnsi="仿宋" w:hint="eastAsia"/>
          <w:bCs/>
          <w:sz w:val="32"/>
          <w:szCs w:val="32"/>
          <w:lang w:eastAsia="zh-CN"/>
        </w:rPr>
        <w:t>其他宣传事务支出</w:t>
      </w:r>
      <w:r>
        <w:rPr>
          <w:rStyle w:val="27"/>
          <w:rFonts w:ascii="仿宋" w:eastAsia="仿宋" w:hAnsi="仿宋" w:hint="eastAsia"/>
          <w:bCs/>
          <w:sz w:val="32"/>
          <w:szCs w:val="32"/>
        </w:rPr>
        <w:t>（项）</w:t>
      </w:r>
      <w:r>
        <w:rPr>
          <w:rStyle w:val="27"/>
          <w:rFonts w:ascii="仿宋" w:eastAsia="仿宋" w:hAnsi="仿宋"/>
          <w:bCs/>
          <w:sz w:val="32"/>
          <w:szCs w:val="32"/>
        </w:rPr>
        <w:t>:</w:t>
      </w:r>
      <w:r>
        <w:rPr>
          <w:rStyle w:val="27"/>
          <w:rFonts w:ascii="仿宋" w:eastAsia="仿宋" w:hAnsi="仿宋"/>
          <w:b w:val="0"/>
          <w:bCs/>
          <w:sz w:val="32"/>
          <w:szCs w:val="32"/>
        </w:rPr>
        <w:t xml:space="preserve"> </w:t>
      </w:r>
      <w:r>
        <w:rPr>
          <w:rStyle w:val="27"/>
          <w:rFonts w:ascii="仿宋" w:eastAsia="仿宋" w:hAnsi="仿宋" w:hint="eastAsia"/>
          <w:b w:val="0"/>
          <w:bCs/>
          <w:sz w:val="32"/>
          <w:szCs w:val="32"/>
        </w:rPr>
        <w:t>支出决算为</w:t>
      </w:r>
      <w:r>
        <w:rPr>
          <w:rStyle w:val="27"/>
          <w:rFonts w:ascii="仿宋" w:eastAsia="仿宋" w:hAnsi="仿宋" w:hint="eastAsia"/>
          <w:b w:val="0"/>
          <w:bCs/>
          <w:sz w:val="32"/>
          <w:szCs w:val="32"/>
          <w:lang w:val="en-US" w:eastAsia="zh-CN"/>
        </w:rPr>
        <w:t>10</w:t>
      </w:r>
      <w:r>
        <w:rPr>
          <w:rStyle w:val="27"/>
          <w:rFonts w:ascii="仿宋" w:eastAsia="仿宋" w:hAnsi="仿宋" w:hint="eastAsia"/>
          <w:b w:val="0"/>
          <w:bCs/>
          <w:sz w:val="32"/>
          <w:szCs w:val="32"/>
        </w:rPr>
        <w:t>万元，完成预算</w:t>
      </w:r>
      <w:r>
        <w:rPr>
          <w:rStyle w:val="27"/>
          <w:rFonts w:ascii="仿宋" w:eastAsia="仿宋" w:hAnsi="仿宋" w:hint="eastAsia"/>
          <w:b w:val="0"/>
          <w:bCs/>
          <w:sz w:val="32"/>
          <w:szCs w:val="32"/>
          <w:lang w:val="en-US" w:eastAsia="zh-CN"/>
        </w:rPr>
        <w:t>100</w:t>
      </w:r>
      <w:r>
        <w:rPr>
          <w:rStyle w:val="27"/>
          <w:rFonts w:ascii="仿宋" w:eastAsia="仿宋" w:hAnsi="仿宋" w:hint="eastAsia"/>
          <w:b w:val="0"/>
          <w:bCs/>
          <w:sz w:val="32"/>
          <w:szCs w:val="32"/>
        </w:rPr>
        <w:t>%。</w:t>
      </w:r>
    </w:p>
    <w:p>
      <w:pPr>
        <w:pStyle w:val="24"/>
        <w:tabs>
          <w:tab w:val="right" w:leader="dot" w:pos="8296"/>
        </w:tabs>
        <w:ind w:leftChars="0" w:left="0" w:firstLineChars="200" w:firstLine="640"/>
      </w:pPr>
      <w:r>
        <w:rPr>
          <w:rStyle w:val="27"/>
          <w:rFonts w:ascii="仿宋" w:eastAsia="仿宋" w:hAnsi="仿宋"/>
          <w:bCs/>
          <w:sz w:val="32"/>
          <w:szCs w:val="32"/>
        </w:rPr>
        <w:t>5.</w:t>
      </w:r>
      <w:r>
        <w:rPr>
          <w:rStyle w:val="54"/>
          <w:rFonts w:ascii="仿宋" w:eastAsia="仿宋" w:hint="eastAsia"/>
          <w:sz w:val="32"/>
          <w:szCs w:val="32"/>
        </w:rPr>
        <w:t xml:space="preserve">社会保障和就业支出（类）行政事业单位养老支出（款）  </w:t>
      </w:r>
      <w:r>
        <w:rPr>
          <w:rStyle w:val="54"/>
          <w:rFonts w:ascii="仿宋" w:eastAsia="仿宋" w:hint="eastAsia"/>
          <w:sz w:val="32"/>
          <w:szCs w:val="32"/>
          <w:lang w:eastAsia="zh-CN"/>
        </w:rPr>
        <w:t>行政</w:t>
      </w:r>
      <w:r>
        <w:rPr>
          <w:rStyle w:val="54"/>
          <w:rFonts w:ascii="仿宋" w:eastAsia="仿宋" w:hint="eastAsia"/>
          <w:sz w:val="32"/>
          <w:szCs w:val="32"/>
        </w:rPr>
        <w:t>单位离退休（项）</w:t>
      </w:r>
      <w:r>
        <w:rPr>
          <w:rStyle w:val="54"/>
          <w:rFonts w:ascii="仿宋" w:eastAsia="仿宋" w:hint="eastAsia"/>
          <w:sz w:val="32"/>
          <w:szCs w:val="32"/>
          <w:lang w:eastAsia="zh-CN"/>
        </w:rPr>
        <w:t>：</w:t>
      </w:r>
      <w:r>
        <w:rPr>
          <w:rStyle w:val="27"/>
          <w:rFonts w:ascii="仿宋" w:eastAsia="仿宋" w:cs="Times New Roman" w:hAnsi="仿宋" w:hint="eastAsia"/>
          <w:b w:val="0"/>
          <w:bCs/>
          <w:kern w:val="2"/>
          <w:sz w:val="32"/>
          <w:szCs w:val="32"/>
          <w:lang w:val="en-US" w:eastAsia="zh-CN" w:bidi="ar-SA"/>
        </w:rPr>
        <w:t>支出决算为62.49万元，完成预算100%。</w:t>
      </w:r>
    </w:p>
    <w:p>
      <w:pPr>
        <w:spacing w:line="600" w:lineRule="exact"/>
        <w:ind w:firstLineChars="200" w:firstLine="640"/>
        <w:rPr>
          <w:rFonts w:ascii="仿宋" w:eastAsia="仿宋" w:hAnsi="仿宋"/>
          <w:b/>
          <w:sz w:val="32"/>
          <w:szCs w:val="32"/>
        </w:rPr>
      </w:pPr>
      <w:r>
        <w:rPr>
          <w:rStyle w:val="27"/>
          <w:rFonts w:ascii="仿宋" w:eastAsia="仿宋" w:hAnsi="仿宋" w:hint="eastAsia"/>
          <w:bCs/>
          <w:sz w:val="32"/>
          <w:szCs w:val="32"/>
          <w:lang w:val="en-US" w:eastAsia="zh-CN"/>
        </w:rPr>
        <w:t>6</w:t>
      </w:r>
      <w:r>
        <w:rPr>
          <w:rStyle w:val="27"/>
          <w:rFonts w:ascii="仿宋" w:eastAsia="仿宋" w:hAnsi="仿宋"/>
          <w:bCs/>
          <w:sz w:val="32"/>
          <w:szCs w:val="32"/>
        </w:rPr>
        <w:t>.</w:t>
      </w:r>
      <w:r>
        <w:rPr>
          <w:rStyle w:val="54"/>
          <w:rFonts w:ascii="仿宋" w:eastAsia="仿宋" w:hint="eastAsia"/>
          <w:sz w:val="32"/>
          <w:szCs w:val="32"/>
        </w:rPr>
        <w:t xml:space="preserve">社会保障和就业支出（类）行政事业单位养老支出（款）  </w:t>
      </w:r>
      <w:r>
        <w:rPr>
          <w:rStyle w:val="54"/>
          <w:rFonts w:ascii="仿宋" w:eastAsia="仿宋" w:hint="eastAsia"/>
          <w:sz w:val="32"/>
          <w:szCs w:val="32"/>
          <w:lang w:eastAsia="zh-CN"/>
        </w:rPr>
        <w:t>事业</w:t>
      </w:r>
      <w:r>
        <w:rPr>
          <w:rStyle w:val="54"/>
          <w:rFonts w:ascii="仿宋" w:eastAsia="仿宋" w:hint="eastAsia"/>
          <w:sz w:val="32"/>
          <w:szCs w:val="32"/>
        </w:rPr>
        <w:t>单位离退休（项）</w:t>
      </w:r>
      <w:r>
        <w:rPr>
          <w:rStyle w:val="54"/>
          <w:rFonts w:ascii="仿宋" w:eastAsia="仿宋" w:hint="eastAsia"/>
          <w:sz w:val="32"/>
          <w:szCs w:val="32"/>
          <w:lang w:eastAsia="zh-CN"/>
        </w:rPr>
        <w:t>：</w:t>
      </w:r>
      <w:r>
        <w:rPr>
          <w:rStyle w:val="27"/>
          <w:rFonts w:ascii="仿宋" w:eastAsia="仿宋" w:cs="Times New Roman" w:hAnsi="仿宋" w:hint="eastAsia"/>
          <w:b w:val="0"/>
          <w:bCs/>
          <w:kern w:val="2"/>
          <w:sz w:val="32"/>
          <w:szCs w:val="32"/>
          <w:lang w:val="en-US" w:eastAsia="zh-CN" w:bidi="ar-SA"/>
        </w:rPr>
        <w:t>支出决算为21.76万元，完成预算100%。</w:t>
      </w:r>
    </w:p>
    <w:p>
      <w:pPr>
        <w:spacing w:line="600" w:lineRule="exact"/>
        <w:ind w:firstLineChars="200" w:firstLine="640"/>
        <w:rPr>
          <w:rFonts w:ascii="仿宋" w:eastAsia="仿宋" w:hAnsi="仿宋"/>
          <w:b/>
          <w:sz w:val="32"/>
          <w:szCs w:val="32"/>
        </w:rPr>
      </w:pPr>
      <w:r>
        <w:rPr>
          <w:rStyle w:val="27"/>
          <w:rFonts w:ascii="仿宋" w:eastAsia="仿宋" w:hAnsi="仿宋" w:hint="eastAsia"/>
          <w:bCs/>
          <w:sz w:val="32"/>
          <w:szCs w:val="32"/>
          <w:lang w:val="en-US" w:eastAsia="zh-CN"/>
        </w:rPr>
        <w:t>7</w:t>
      </w:r>
      <w:r>
        <w:rPr>
          <w:rStyle w:val="27"/>
          <w:rFonts w:ascii="仿宋" w:eastAsia="仿宋" w:hAnsi="仿宋"/>
          <w:bCs/>
          <w:sz w:val="32"/>
          <w:szCs w:val="32"/>
        </w:rPr>
        <w:t>.</w:t>
      </w:r>
      <w:r>
        <w:rPr>
          <w:rStyle w:val="54"/>
          <w:rFonts w:ascii="仿宋" w:eastAsia="仿宋" w:hint="eastAsia"/>
          <w:sz w:val="32"/>
          <w:szCs w:val="32"/>
        </w:rPr>
        <w:t>社会保障和就业支出（类）行政事业单位养老支出（款）机关事业单位基本养老保险缴费支出（项）:</w:t>
      </w:r>
      <w:r>
        <w:rPr>
          <w:rStyle w:val="27"/>
          <w:rFonts w:ascii="仿宋" w:eastAsia="仿宋" w:cs="Times New Roman" w:hAnsi="仿宋" w:hint="eastAsia"/>
          <w:b w:val="0"/>
          <w:bCs/>
          <w:kern w:val="2"/>
          <w:sz w:val="32"/>
          <w:szCs w:val="32"/>
          <w:lang w:val="en-US" w:eastAsia="zh-CN" w:bidi="ar-SA"/>
        </w:rPr>
        <w:t>支出决算为32.97万元，完成预算100%。</w:t>
      </w:r>
    </w:p>
    <w:p>
      <w:pPr>
        <w:spacing w:line="600" w:lineRule="exact"/>
        <w:ind w:firstLineChars="200" w:firstLine="640"/>
        <w:rPr>
          <w:rStyle w:val="27"/>
          <w:rFonts w:ascii="仿宋" w:eastAsia="仿宋" w:hAnsi="仿宋" w:hint="eastAsia"/>
          <w:b w:val="0"/>
          <w:bCs/>
          <w:sz w:val="32"/>
          <w:szCs w:val="32"/>
        </w:rPr>
      </w:pPr>
      <w:r>
        <w:rPr>
          <w:rStyle w:val="27"/>
          <w:rFonts w:ascii="仿宋" w:eastAsia="仿宋" w:hAnsi="仿宋" w:hint="eastAsia"/>
          <w:bCs/>
          <w:sz w:val="32"/>
          <w:szCs w:val="32"/>
          <w:lang w:val="en-US" w:eastAsia="zh-CN"/>
        </w:rPr>
        <w:t>8</w:t>
      </w:r>
      <w:r>
        <w:rPr>
          <w:rStyle w:val="27"/>
          <w:rFonts w:ascii="仿宋" w:eastAsia="仿宋" w:hAnsi="仿宋"/>
          <w:bCs/>
          <w:sz w:val="32"/>
          <w:szCs w:val="32"/>
        </w:rPr>
        <w:t>.</w:t>
      </w:r>
      <w:r>
        <w:rPr>
          <w:rStyle w:val="54"/>
          <w:rFonts w:ascii="仿宋" w:eastAsia="仿宋" w:hint="eastAsia"/>
          <w:sz w:val="32"/>
          <w:szCs w:val="32"/>
        </w:rPr>
        <w:t>社会保障和就业支出（类）</w:t>
      </w:r>
      <w:r>
        <w:rPr>
          <w:rStyle w:val="54"/>
          <w:rFonts w:ascii="仿宋" w:eastAsia="仿宋" w:hint="eastAsia"/>
          <w:sz w:val="32"/>
          <w:szCs w:val="32"/>
          <w:lang w:eastAsia="zh-CN"/>
        </w:rPr>
        <w:t>抚恤</w:t>
      </w:r>
      <w:r>
        <w:rPr>
          <w:rStyle w:val="54"/>
          <w:rFonts w:ascii="仿宋" w:eastAsia="仿宋" w:hint="eastAsia"/>
          <w:sz w:val="32"/>
          <w:szCs w:val="32"/>
        </w:rPr>
        <w:t>（款）</w:t>
      </w:r>
      <w:r>
        <w:rPr>
          <w:rStyle w:val="54"/>
          <w:rFonts w:ascii="仿宋" w:eastAsia="仿宋" w:hint="eastAsia"/>
          <w:sz w:val="32"/>
          <w:szCs w:val="32"/>
          <w:lang w:eastAsia="zh-CN"/>
        </w:rPr>
        <w:t>死亡抚恤</w:t>
      </w:r>
      <w:r>
        <w:rPr>
          <w:rStyle w:val="54"/>
          <w:rFonts w:ascii="仿宋" w:eastAsia="仿宋" w:hint="eastAsia"/>
          <w:sz w:val="32"/>
          <w:szCs w:val="32"/>
        </w:rPr>
        <w:t>（项）:</w:t>
      </w:r>
      <w:r>
        <w:rPr>
          <w:rStyle w:val="27"/>
          <w:rFonts w:ascii="仿宋" w:eastAsia="仿宋" w:cs="Times New Roman" w:hAnsi="仿宋" w:hint="eastAsia"/>
          <w:b w:val="0"/>
          <w:bCs/>
          <w:kern w:val="2"/>
          <w:sz w:val="32"/>
          <w:szCs w:val="32"/>
          <w:lang w:val="en-US" w:eastAsia="zh-CN" w:bidi="ar-SA"/>
        </w:rPr>
        <w:t>支出决算为0.6万元，完成预算100%。</w:t>
      </w:r>
    </w:p>
    <w:p>
      <w:pPr>
        <w:pStyle w:val="24"/>
        <w:tabs>
          <w:tab w:val="right" w:leader="dot" w:pos="8296"/>
        </w:tabs>
        <w:ind w:leftChars="0" w:left="0" w:firstLineChars="200" w:firstLine="640"/>
      </w:pPr>
      <w:r>
        <w:rPr>
          <w:rStyle w:val="54"/>
          <w:rFonts w:ascii="仿宋" w:eastAsia="仿宋" w:hint="eastAsia"/>
          <w:sz w:val="32"/>
          <w:szCs w:val="32"/>
          <w:lang w:val="en-US" w:eastAsia="zh-CN"/>
        </w:rPr>
        <w:t>9.</w:t>
      </w:r>
      <w:r>
        <w:rPr>
          <w:rStyle w:val="54"/>
          <w:rFonts w:ascii="仿宋" w:eastAsia="仿宋" w:hint="eastAsia"/>
          <w:sz w:val="32"/>
          <w:szCs w:val="32"/>
        </w:rPr>
        <w:t>住房保障支出（类）住房改革支出（款）住房公积</w:t>
      </w:r>
      <w:r>
        <w:rPr>
          <w:rStyle w:val="54"/>
          <w:rFonts w:ascii="仿宋" w:eastAsia="仿宋" w:hint="eastAsia"/>
          <w:sz w:val="32"/>
          <w:szCs w:val="32"/>
          <w:lang w:eastAsia="zh-CN"/>
        </w:rPr>
        <w:t>金</w:t>
      </w:r>
      <w:r>
        <w:rPr>
          <w:rStyle w:val="54"/>
          <w:rFonts w:ascii="仿宋" w:eastAsia="仿宋" w:hint="eastAsia"/>
          <w:sz w:val="32"/>
          <w:szCs w:val="32"/>
        </w:rPr>
        <w:t>（项）:</w:t>
      </w:r>
      <w:r>
        <w:rPr>
          <w:rStyle w:val="27"/>
          <w:rFonts w:ascii="仿宋" w:eastAsia="仿宋" w:cs="Times New Roman" w:hAnsi="仿宋" w:hint="eastAsia"/>
          <w:b w:val="0"/>
          <w:bCs/>
          <w:kern w:val="2"/>
          <w:sz w:val="32"/>
          <w:szCs w:val="32"/>
          <w:lang w:val="en-US" w:eastAsia="zh-CN" w:bidi="ar-SA"/>
        </w:rPr>
        <w:t>支出决算为41.33万元，完成预算100%。</w:t>
      </w:r>
    </w:p>
    <w:p>
      <w:pPr>
        <w:tabs>
          <w:tab w:val="right" w:pos="8306"/>
        </w:tabs>
        <w:spacing w:line="600" w:lineRule="exact"/>
        <w:ind w:firstLine="640"/>
        <w:outlineLvl w:val="1"/>
        <w:rPr>
          <w:rStyle w:val="2Char"/>
        </w:rPr>
      </w:pPr>
      <w:bookmarkStart w:id="54" w:name="_Toc23425"/>
      <w:bookmarkStart w:id="55" w:name="_Toc15396608"/>
      <w:bookmarkStart w:id="56" w:name="_Toc15377214"/>
      <w:r>
        <w:rPr>
          <w:rFonts w:ascii="黑体" w:eastAsia="黑体" w:hint="eastAsia"/>
          <w:sz w:val="32"/>
          <w:szCs w:val="32"/>
          <w:lang w:val="en-US" w:eastAsia="zh-CN"/>
        </w:rPr>
        <w:t>六、一般公共预算财政拨款基本支出决算情况说明</w:t>
      </w:r>
      <w:bookmarkEnd w:id="54"/>
      <w:bookmarkEnd w:id="55"/>
      <w:bookmarkEnd w:id="56"/>
      <w:r>
        <w:rPr>
          <w:rStyle w:val="2Char"/>
          <w:rFonts w:ascii="黑体" w:eastAsia="黑体" w:hAnsi="黑体"/>
          <w:b w:val="0"/>
        </w:rPr>
        <w:tab/>
      </w:r>
    </w:p>
    <w:p>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22年一般公共预算财政拨款基本支出</w:t>
      </w:r>
      <w:r>
        <w:rPr>
          <w:rFonts w:ascii="仿宋" w:eastAsia="仿宋" w:hAnsi="仿宋" w:hint="eastAsia"/>
          <w:sz w:val="32"/>
          <w:szCs w:val="32"/>
          <w:lang w:val="en-US" w:eastAsia="zh-CN"/>
        </w:rPr>
        <w:t>563.69</w:t>
      </w:r>
      <w:r>
        <w:rPr>
          <w:rFonts w:ascii="仿宋" w:eastAsia="仿宋" w:hAnsi="仿宋" w:hint="eastAsia"/>
          <w:sz w:val="32"/>
          <w:szCs w:val="32"/>
        </w:rPr>
        <w:t>万元，其中：</w:t>
      </w:r>
    </w:p>
    <w:p>
      <w:pPr>
        <w:spacing w:line="600" w:lineRule="exact"/>
        <w:ind w:firstLine="645"/>
        <w:rPr>
          <w:rFonts w:ascii="仿宋" w:eastAsia="仿宋" w:hAnsi="仿宋"/>
          <w:sz w:val="32"/>
          <w:szCs w:val="32"/>
        </w:rPr>
      </w:pPr>
      <w:r>
        <w:rPr>
          <w:rFonts w:ascii="仿宋" w:eastAsia="仿宋" w:hAnsi="仿宋" w:hint="eastAsia"/>
          <w:sz w:val="32"/>
          <w:szCs w:val="32"/>
        </w:rPr>
        <w:t>人员经费</w:t>
      </w:r>
      <w:r>
        <w:rPr>
          <w:rFonts w:ascii="仿宋" w:eastAsia="仿宋" w:hAnsi="仿宋" w:hint="eastAsia"/>
          <w:sz w:val="32"/>
          <w:szCs w:val="32"/>
          <w:lang w:val="en-US" w:eastAsia="zh-CN"/>
        </w:rPr>
        <w:t>510.84</w:t>
      </w:r>
      <w:r>
        <w:rPr>
          <w:rFonts w:ascii="仿宋" w:eastAsia="仿宋" w:hAnsi="仿宋" w:hint="eastAsia"/>
          <w:sz w:val="32"/>
          <w:szCs w:val="32"/>
        </w:rPr>
        <w:t>万元，主要包括：基本工资、津贴补贴、奖金、绩效工资、机关事业单位基本养老保险缴费、职工基本医疗保险缴费</w:t>
      </w:r>
      <w:r>
        <w:rPr>
          <w:rFonts w:ascii="仿宋" w:eastAsia="仿宋" w:hAnsi="仿宋" w:hint="eastAsia"/>
          <w:sz w:val="32"/>
          <w:szCs w:val="32"/>
          <w:lang w:eastAsia="zh-CN"/>
        </w:rPr>
        <w:t>、公务员医疗补助缴费、</w:t>
      </w:r>
      <w:r>
        <w:rPr>
          <w:rFonts w:ascii="仿宋" w:eastAsia="仿宋" w:hAnsi="仿宋" w:hint="eastAsia"/>
          <w:sz w:val="32"/>
          <w:szCs w:val="32"/>
        </w:rPr>
        <w:t>其他社会保障缴费、住房公积金</w:t>
      </w:r>
      <w:r>
        <w:rPr>
          <w:rFonts w:ascii="仿宋" w:eastAsia="仿宋" w:hAnsi="仿宋" w:hint="eastAsia"/>
          <w:sz w:val="32"/>
          <w:szCs w:val="32"/>
          <w:lang w:eastAsia="zh-CN"/>
        </w:rPr>
        <w:t>、</w:t>
      </w:r>
      <w:r>
        <w:rPr>
          <w:rFonts w:ascii="仿宋" w:eastAsia="仿宋" w:hAnsi="仿宋" w:hint="eastAsia"/>
          <w:sz w:val="32"/>
          <w:szCs w:val="32"/>
        </w:rPr>
        <w:t>其他工资福利支出、离休费、抚恤金、生活补助。</w:t>
      </w:r>
      <w:r>
        <w:rPr>
          <w:rFonts w:ascii="仿宋" w:eastAsia="仿宋" w:hAnsi="仿宋"/>
          <w:sz w:val="32"/>
          <w:szCs w:val="32"/>
        </w:rPr>
        <w:br/>
      </w:r>
      <w:r>
        <w:rPr>
          <w:rFonts w:ascii="仿宋" w:eastAsia="仿宋" w:hAnsi="仿宋" w:hint="eastAsia"/>
          <w:sz w:val="32"/>
          <w:szCs w:val="32"/>
        </w:rPr>
        <w:t>　　公用经费</w:t>
      </w:r>
      <w:r>
        <w:rPr>
          <w:rFonts w:ascii="仿宋" w:eastAsia="仿宋" w:hAnsi="仿宋" w:hint="eastAsia"/>
          <w:sz w:val="32"/>
          <w:szCs w:val="32"/>
          <w:lang w:val="en-US" w:eastAsia="zh-CN"/>
        </w:rPr>
        <w:t>52.85</w:t>
      </w:r>
      <w:r>
        <w:rPr>
          <w:rFonts w:ascii="仿宋" w:eastAsia="仿宋" w:hAnsi="仿宋" w:hint="eastAsia"/>
          <w:sz w:val="32"/>
          <w:szCs w:val="32"/>
        </w:rPr>
        <w:t>万元，主要包括：办公费</w:t>
      </w:r>
      <w:r>
        <w:rPr>
          <w:rFonts w:ascii="仿宋" w:eastAsia="仿宋" w:hAnsi="仿宋" w:hint="eastAsia"/>
          <w:sz w:val="32"/>
          <w:szCs w:val="32"/>
          <w:lang w:eastAsia="zh-CN"/>
        </w:rPr>
        <w:t>、</w:t>
      </w:r>
      <w:r>
        <w:rPr>
          <w:rFonts w:ascii="仿宋" w:eastAsia="仿宋" w:hAnsi="仿宋" w:hint="eastAsia"/>
          <w:sz w:val="32"/>
          <w:szCs w:val="32"/>
        </w:rPr>
        <w:t>水费、电费、邮电费、差旅费、会议费</w:t>
      </w:r>
      <w:r>
        <w:rPr>
          <w:rFonts w:ascii="仿宋" w:eastAsia="仿宋" w:hAnsi="仿宋" w:hint="eastAsia"/>
          <w:sz w:val="32"/>
          <w:szCs w:val="32"/>
          <w:lang w:eastAsia="zh-CN"/>
        </w:rPr>
        <w:t>、</w:t>
      </w:r>
      <w:r>
        <w:rPr>
          <w:rFonts w:ascii="仿宋" w:eastAsia="仿宋" w:hAnsi="仿宋" w:hint="eastAsia"/>
          <w:sz w:val="32"/>
          <w:szCs w:val="32"/>
        </w:rPr>
        <w:t>公务接待费、劳务费</w:t>
      </w:r>
      <w:r>
        <w:rPr>
          <w:rFonts w:ascii="仿宋" w:eastAsia="仿宋" w:hAnsi="仿宋" w:hint="eastAsia"/>
          <w:sz w:val="32"/>
          <w:szCs w:val="32"/>
          <w:lang w:eastAsia="zh-CN"/>
        </w:rPr>
        <w:t>、</w:t>
      </w:r>
      <w:r>
        <w:rPr>
          <w:rFonts w:ascii="仿宋" w:eastAsia="仿宋" w:hAnsi="仿宋" w:hint="eastAsia"/>
          <w:sz w:val="32"/>
          <w:szCs w:val="32"/>
        </w:rPr>
        <w:t>工会经费、福利费、公务用车运行维护费、其他交通费、其他商品和服务支出、办公设备购置。</w:t>
      </w:r>
    </w:p>
    <w:p>
      <w:pPr>
        <w:spacing w:line="600" w:lineRule="exact"/>
        <w:ind w:firstLine="640"/>
        <w:outlineLvl w:val="1"/>
        <w:rPr>
          <w:rFonts w:ascii="黑体" w:eastAsia="黑体" w:hint="eastAsia"/>
          <w:sz w:val="32"/>
          <w:szCs w:val="32"/>
        </w:rPr>
      </w:pPr>
      <w:bookmarkStart w:id="57" w:name="_Toc15377215"/>
      <w:bookmarkStart w:id="58" w:name="_Toc15396609"/>
      <w:bookmarkStart w:id="59" w:name="_Toc28970"/>
      <w:r>
        <w:rPr>
          <w:rFonts w:ascii="黑体" w:eastAsia="黑体" w:hint="eastAsia"/>
          <w:sz w:val="32"/>
          <w:szCs w:val="32"/>
        </w:rPr>
        <w:t>七、财政拨款“三公”经费支出决算情况说明</w:t>
      </w:r>
      <w:bookmarkEnd w:id="57"/>
      <w:bookmarkEnd w:id="58"/>
      <w:bookmarkEnd w:id="59"/>
    </w:p>
    <w:p>
      <w:pPr>
        <w:spacing w:line="600" w:lineRule="exact"/>
        <w:ind w:firstLine="640"/>
        <w:outlineLvl w:val="2"/>
        <w:rPr>
          <w:rFonts w:ascii="仿宋" w:eastAsia="仿宋" w:hAnsi="仿宋"/>
          <w:b/>
          <w:sz w:val="32"/>
          <w:szCs w:val="32"/>
        </w:rPr>
      </w:pPr>
      <w:bookmarkStart w:id="60" w:name="_Toc15377216"/>
      <w:r>
        <w:rPr>
          <w:rFonts w:ascii="仿宋" w:eastAsia="仿宋" w:hAnsi="仿宋" w:hint="eastAsia"/>
          <w:b/>
          <w:sz w:val="32"/>
          <w:szCs w:val="32"/>
        </w:rPr>
        <w:t>（一）“三公”经费财政拨款支出决算总体情况说明</w:t>
      </w:r>
      <w:bookmarkEnd w:id="60"/>
    </w:p>
    <w:p>
      <w:pPr>
        <w:spacing w:line="600" w:lineRule="exact"/>
        <w:ind w:firstLine="640"/>
        <w:rPr>
          <w:rFonts w:ascii="仿宋" w:eastAsia="仿宋" w:hAnsi="仿宋" w:hint="eastAsia"/>
          <w:sz w:val="32"/>
          <w:szCs w:val="32"/>
        </w:rPr>
      </w:pPr>
      <w:r>
        <w:rPr>
          <w:rFonts w:ascii="仿宋" w:eastAsia="仿宋" w:hAnsi="仿宋" w:hint="eastAsia"/>
          <w:sz w:val="32"/>
          <w:szCs w:val="32"/>
        </w:rPr>
        <w:t>2022年“三公”经费财政拨款支出决算为</w:t>
      </w:r>
      <w:r>
        <w:rPr>
          <w:rFonts w:ascii="仿宋" w:eastAsia="仿宋" w:hAnsi="仿宋" w:hint="eastAsia"/>
          <w:sz w:val="32"/>
          <w:szCs w:val="32"/>
          <w:lang w:val="en-US" w:eastAsia="zh-CN"/>
        </w:rPr>
        <w:t>1.17</w:t>
      </w:r>
      <w:r>
        <w:rPr>
          <w:rFonts w:ascii="仿宋" w:eastAsia="仿宋" w:hAnsi="仿宋" w:hint="eastAsia"/>
          <w:sz w:val="32"/>
          <w:szCs w:val="32"/>
        </w:rPr>
        <w:t>万元，完成预算</w:t>
      </w:r>
      <w:r>
        <w:rPr>
          <w:rFonts w:ascii="仿宋" w:eastAsia="仿宋" w:hAnsi="仿宋" w:hint="eastAsia"/>
          <w:sz w:val="32"/>
          <w:szCs w:val="32"/>
          <w:lang w:val="en-US" w:eastAsia="zh-CN"/>
        </w:rPr>
        <w:t>34.80</w:t>
      </w:r>
      <w:r>
        <w:rPr>
          <w:rFonts w:ascii="仿宋" w:eastAsia="仿宋" w:hAnsi="仿宋" w:hint="eastAsia"/>
          <w:sz w:val="32"/>
          <w:szCs w:val="32"/>
        </w:rPr>
        <w:t>%，较上年减少</w:t>
      </w:r>
      <w:r>
        <w:rPr>
          <w:rFonts w:ascii="仿宋" w:eastAsia="仿宋" w:hAnsi="仿宋" w:hint="eastAsia"/>
          <w:sz w:val="32"/>
          <w:szCs w:val="32"/>
          <w:lang w:val="en-US" w:eastAsia="zh-CN"/>
        </w:rPr>
        <w:t>0.11</w:t>
      </w:r>
      <w:r>
        <w:rPr>
          <w:rFonts w:ascii="仿宋" w:eastAsia="仿宋" w:hAnsi="仿宋" w:hint="eastAsia"/>
          <w:sz w:val="32"/>
          <w:szCs w:val="32"/>
        </w:rPr>
        <w:t>万元，下降</w:t>
      </w:r>
      <w:r>
        <w:rPr>
          <w:rFonts w:ascii="仿宋" w:eastAsia="仿宋" w:hAnsi="仿宋" w:hint="eastAsia"/>
          <w:sz w:val="32"/>
          <w:szCs w:val="32"/>
          <w:lang w:val="en-US" w:eastAsia="zh-CN"/>
        </w:rPr>
        <w:t>8.82</w:t>
      </w:r>
      <w:r>
        <w:rPr>
          <w:rFonts w:ascii="仿宋" w:eastAsia="仿宋" w:hAnsi="仿宋" w:hint="eastAsia"/>
          <w:sz w:val="32"/>
          <w:szCs w:val="32"/>
        </w:rPr>
        <w:t>%。决算数小于预算数的主要原因是</w:t>
      </w:r>
      <w:r>
        <w:rPr>
          <w:rFonts w:ascii="仿宋" w:eastAsia="仿宋" w:hAnsi="仿宋" w:hint="eastAsia"/>
          <w:sz w:val="32"/>
          <w:szCs w:val="32"/>
          <w:lang w:eastAsia="zh-CN"/>
        </w:rPr>
        <w:t>认真贯彻落实“党政机关要坚持过紧日子”的要求，厉行节俭，从严控制“三公”经费开支</w:t>
      </w:r>
      <w:r>
        <w:rPr>
          <w:rFonts w:ascii="仿宋" w:eastAsia="仿宋" w:hAnsi="仿宋" w:hint="eastAsia"/>
          <w:sz w:val="32"/>
          <w:szCs w:val="32"/>
        </w:rPr>
        <w:t>。</w:t>
      </w:r>
    </w:p>
    <w:p>
      <w:pPr>
        <w:spacing w:line="600" w:lineRule="exact"/>
        <w:ind w:firstLine="640"/>
        <w:outlineLvl w:val="2"/>
        <w:rPr>
          <w:rFonts w:ascii="仿宋" w:eastAsia="仿宋" w:hAnsi="仿宋"/>
          <w:b/>
          <w:sz w:val="32"/>
          <w:szCs w:val="32"/>
        </w:rPr>
      </w:pPr>
      <w:bookmarkStart w:id="61" w:name="_Toc15377217"/>
      <w:r>
        <w:rPr>
          <w:rFonts w:ascii="仿宋" w:eastAsia="仿宋" w:hAnsi="仿宋" w:hint="eastAsia"/>
          <w:b/>
          <w:sz w:val="32"/>
          <w:szCs w:val="32"/>
        </w:rPr>
        <w:t>（二）“三公”经费财政拨款支出决算具体情况说明</w:t>
      </w:r>
      <w:bookmarkEnd w:id="61"/>
    </w:p>
    <w:p>
      <w:pPr>
        <w:spacing w:line="600" w:lineRule="exact"/>
        <w:ind w:firstLine="640"/>
        <w:rPr>
          <w:rFonts w:ascii="仿宋" w:eastAsia="仿宋" w:hAnsi="仿宋" w:hint="eastAsia"/>
          <w:sz w:val="32"/>
          <w:szCs w:val="32"/>
        </w:rPr>
      </w:pPr>
      <w:r>
        <w:rPr>
          <w:rFonts w:ascii="仿宋" w:eastAsia="仿宋" w:hAnsi="仿宋" w:hint="eastAsia"/>
          <w:sz w:val="32"/>
          <w:szCs w:val="32"/>
        </w:rPr>
        <w:t>2022年“三公”经费财政拨款支出决算中，因公出国（境）费支出决算</w:t>
      </w:r>
      <w:r>
        <w:rPr>
          <w:rFonts w:ascii="仿宋" w:eastAsia="仿宋" w:hAnsi="仿宋" w:hint="eastAsia"/>
          <w:sz w:val="32"/>
          <w:szCs w:val="32"/>
          <w:lang w:val="en-US" w:eastAsia="zh-CN"/>
        </w:rPr>
        <w:t>0</w:t>
      </w:r>
      <w:r>
        <w:rPr>
          <w:rFonts w:ascii="仿宋" w:eastAsia="仿宋" w:hAnsi="仿宋" w:hint="eastAsia"/>
          <w:sz w:val="32"/>
          <w:szCs w:val="32"/>
        </w:rPr>
        <w:t>万元，占</w:t>
      </w:r>
      <w:r>
        <w:rPr>
          <w:rFonts w:ascii="仿宋" w:eastAsia="仿宋" w:hAnsi="仿宋" w:hint="eastAsia"/>
          <w:sz w:val="32"/>
          <w:szCs w:val="32"/>
          <w:lang w:val="en-US" w:eastAsia="zh-CN"/>
        </w:rPr>
        <w:t>0</w:t>
      </w:r>
      <w:r>
        <w:rPr>
          <w:rFonts w:ascii="仿宋" w:eastAsia="仿宋" w:hAnsi="仿宋" w:hint="eastAsia"/>
          <w:sz w:val="32"/>
          <w:szCs w:val="32"/>
        </w:rPr>
        <w:t>%；公务用车购置及运行维护费支出决算</w:t>
      </w:r>
      <w:r>
        <w:rPr>
          <w:rFonts w:ascii="仿宋" w:eastAsia="仿宋" w:hAnsi="仿宋" w:hint="eastAsia"/>
          <w:sz w:val="32"/>
          <w:szCs w:val="32"/>
          <w:lang w:val="en-US" w:eastAsia="zh-CN"/>
        </w:rPr>
        <w:t>0.98</w:t>
      </w:r>
      <w:r>
        <w:rPr>
          <w:rFonts w:ascii="仿宋" w:eastAsia="仿宋" w:hAnsi="仿宋" w:hint="eastAsia"/>
          <w:sz w:val="32"/>
          <w:szCs w:val="32"/>
        </w:rPr>
        <w:t>万元，占</w:t>
      </w:r>
      <w:r>
        <w:rPr>
          <w:rFonts w:ascii="仿宋" w:eastAsia="仿宋" w:hAnsi="仿宋" w:hint="eastAsia"/>
          <w:sz w:val="32"/>
          <w:szCs w:val="32"/>
          <w:lang w:val="en-US" w:eastAsia="zh-CN"/>
        </w:rPr>
        <w:t>83.76</w:t>
      </w:r>
      <w:r>
        <w:rPr>
          <w:rFonts w:ascii="仿宋" w:eastAsia="仿宋" w:hAnsi="仿宋" w:hint="eastAsia"/>
          <w:sz w:val="32"/>
          <w:szCs w:val="32"/>
        </w:rPr>
        <w:t>%；公务接待费支出决算</w:t>
      </w:r>
      <w:r>
        <w:rPr>
          <w:rFonts w:ascii="仿宋" w:eastAsia="仿宋" w:hAnsi="仿宋" w:hint="eastAsia"/>
          <w:sz w:val="32"/>
          <w:szCs w:val="32"/>
          <w:lang w:val="en-US" w:eastAsia="zh-CN"/>
        </w:rPr>
        <w:t>0.19</w:t>
      </w:r>
      <w:r>
        <w:rPr>
          <w:rFonts w:ascii="仿宋" w:eastAsia="仿宋" w:hAnsi="仿宋" w:hint="eastAsia"/>
          <w:sz w:val="32"/>
          <w:szCs w:val="32"/>
        </w:rPr>
        <w:t>万元，占</w:t>
      </w:r>
      <w:r>
        <w:rPr>
          <w:rFonts w:ascii="仿宋" w:eastAsia="仿宋" w:hAnsi="仿宋" w:hint="eastAsia"/>
          <w:sz w:val="32"/>
          <w:szCs w:val="32"/>
          <w:lang w:val="en-US" w:eastAsia="zh-CN"/>
        </w:rPr>
        <w:t>16.24</w:t>
      </w:r>
      <w:r>
        <w:rPr>
          <w:rFonts w:ascii="仿宋" w:eastAsia="仿宋" w:hAnsi="仿宋" w:hint="eastAsia"/>
          <w:sz w:val="32"/>
          <w:szCs w:val="32"/>
        </w:rPr>
        <w:t>%。具体情况如下：</w:t>
      </w:r>
    </w:p>
    <w:p>
      <w:pPr>
        <w:pStyle w:val="24"/>
        <w:keepNext w:val="0"/>
        <w:keepLines w:val="0"/>
        <w:pageBreakBefore w:val="0"/>
        <w:widowControl w:val="0"/>
        <w:tabs>
          <w:tab w:val="right" w:leader="dot" w:pos="8296"/>
        </w:tabs>
        <w:kinsoku/>
        <w:wordWrap/>
        <w:overflowPunct/>
        <w:topLinePunct w:val="0"/>
        <w:autoSpaceDE/>
        <w:autoSpaceDN/>
        <w:bidi w:val="0"/>
        <w:adjustRightInd/>
        <w:snapToGrid/>
        <w:textAlignment w:val="auto"/>
        <w:rPr>
          <w:rFonts w:eastAsia="仿宋" w:hint="eastAsia"/>
          <w:lang w:eastAsia="zh-CN"/>
        </w:rPr>
      </w:pPr>
      <w:r>
        <w:rPr>
          <w:rFonts w:eastAsia="仿宋" w:hint="eastAsia"/>
          <w:lang w:eastAsia="zh-CN"/>
        </w:rPr>
        <w:drawing>
          <wp:inline distT="0" distB="0" distL="114300" distR="114300">
            <wp:extent cx="4519295" cy="3060065"/>
            <wp:effectExtent l="0" t="0" r="0" b="0"/>
            <wp:docPr id="7" name="图表 9"/>
            <wp:cNvGraphicFramePr>
              <a:graphicFrameLocks noChangeAspect="0"/>
            </wp:cNvGraphicFramePr>
            <a:graphic>
              <a:graphicData uri="http://schemas.openxmlformats.org/drawingml/2006/chart">
                <c:chart xmlns:c="http://schemas.openxmlformats.org/drawingml/2006/chart" r:id="rId10"/>
              </a:graphicData>
            </a:graphic>
          </wp:inline>
        </w:drawing>
      </w:r>
    </w:p>
    <w:p>
      <w:pPr>
        <w:spacing w:line="600" w:lineRule="exact"/>
        <w:ind w:firstLine="640"/>
        <w:rPr>
          <w:rFonts w:ascii="仿宋" w:eastAsia="仿宋" w:hAnsi="仿宋"/>
          <w:sz w:val="32"/>
          <w:szCs w:val="32"/>
        </w:rPr>
      </w:pPr>
      <w:r>
        <w:rPr>
          <w:rFonts w:ascii="仿宋" w:eastAsia="仿宋" w:hAnsi="仿宋" w:hint="eastAsia"/>
          <w:sz w:val="32"/>
          <w:szCs w:val="32"/>
          <w:lang w:val="en-US" w:eastAsia="zh-CN"/>
        </w:rPr>
        <w:t xml:space="preserve">    </w:t>
      </w:r>
      <w:r>
        <w:rPr>
          <w:rFonts w:ascii="仿宋" w:eastAsia="仿宋" w:hAnsi="仿宋" w:hint="eastAsia"/>
          <w:sz w:val="32"/>
          <w:szCs w:val="32"/>
        </w:rPr>
        <w:t>图7：“三公”经费财政拨款支出结构</w:t>
      </w:r>
    </w:p>
    <w:p>
      <w:pPr>
        <w:spacing w:line="600" w:lineRule="exact"/>
        <w:ind w:firstLine="640"/>
        <w:rPr>
          <w:rFonts w:ascii="仿宋" w:eastAsia="仿宋" w:hAnsi="仿宋" w:hint="eastAsia"/>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lang w:val="en-US" w:eastAsia="zh-CN"/>
        </w:rPr>
        <w:t>0万元，完成预算0%。2022年未安排因公出国（境）经费预算，无相应支出，较2021年无变化。</w:t>
      </w:r>
    </w:p>
    <w:p>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lang w:val="en-US" w:eastAsia="zh-CN"/>
        </w:rPr>
        <w:t>0.98万元,完成预算83.76%%。无公务用车购置支出，均为公务用车运行维护费支出，较2021年减少0.21万元，下降17.91%。主要原因是本部门压缩公务车运行费支出，节约开支。</w:t>
      </w:r>
    </w:p>
    <w:p>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lang w:val="en-US" w:eastAsia="zh-CN"/>
        </w:rPr>
        <w:t>0万元，较上年无变化。截至2022年12月底，部门共有公务用车1辆，其中：轿车0辆、越野车1辆、载客汽车0辆。</w:t>
      </w:r>
    </w:p>
    <w:p>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hint="eastAsia"/>
          <w:sz w:val="32"/>
          <w:szCs w:val="32"/>
          <w:lang w:val="en-US" w:eastAsia="zh-CN"/>
        </w:rPr>
        <w:t>0.98万元。主要用于攀枝花文学院及市书画院开展日常业务工作、开展文艺活动及组织文艺惠民、送文化下乡、开办《攀枝花文学》杂志等业务活动所需的公务用车燃料费、维修费、过路过桥费、保险费等支出。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hint="eastAsia"/>
          <w:sz w:val="32"/>
          <w:szCs w:val="32"/>
          <w:lang w:val="en-US" w:eastAsia="zh-CN"/>
        </w:rPr>
        <w:t>0.19万元，完成预算10.83%。公务接待费支出决算比2021年增加0.11万元，增加122.22%。主要原因是全国新冠疫情形势得到科学有序防控，公务接待活动来访人数较上年有所增加，增加公务接待支出。其中：</w:t>
      </w:r>
    </w:p>
    <w:p>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Pr>
          <w:rFonts w:ascii="仿宋_GB2312" w:eastAsia="仿宋_GB2312" w:hint="eastAsia"/>
          <w:sz w:val="32"/>
          <w:szCs w:val="32"/>
          <w:lang w:val="en-US" w:eastAsia="zh-CN"/>
        </w:rPr>
        <w:t>0.19万元，主要用于国内相关单位来本部门开展采风文艺交流活动，按规定安排工作餐发生的接待支出。国内公务接待1批次，11人次（不包括陪同人员），共计支出0.19万元，具体内容包括：接待内江市文联一行1批次</w:t>
      </w:r>
      <w:r>
        <w:rPr>
          <w:rFonts w:ascii="仿宋_GB2312" w:eastAsia="仿宋_GB2312"/>
          <w:sz w:val="32"/>
          <w:szCs w:val="32"/>
          <w:lang w:val="en-US" w:eastAsia="zh-CN"/>
        </w:rPr>
        <w:t>11</w:t>
      </w:r>
      <w:r>
        <w:rPr>
          <w:rFonts w:ascii="仿宋_GB2312" w:eastAsia="仿宋_GB2312" w:hint="eastAsia"/>
          <w:sz w:val="32"/>
          <w:szCs w:val="32"/>
          <w:lang w:val="en-US" w:eastAsia="zh-CN"/>
        </w:rPr>
        <w:t>人来攀采风文艺交流活动。</w:t>
      </w:r>
    </w:p>
    <w:p>
      <w:pPr>
        <w:spacing w:line="600" w:lineRule="exact"/>
        <w:ind w:firstLine="640"/>
        <w:outlineLvl w:val="1"/>
        <w:rPr>
          <w:rFonts w:ascii="仿宋_GB2312" w:eastAsia="仿宋_GB2312" w:hint="eastAsia"/>
          <w:sz w:val="32"/>
          <w:szCs w:val="32"/>
          <w:lang w:eastAsia="zh-CN"/>
        </w:rPr>
      </w:pPr>
      <w:bookmarkStart w:id="62" w:name="_Toc6013"/>
      <w:r>
        <w:rPr>
          <w:rFonts w:ascii="仿宋" w:eastAsia="仿宋" w:hAnsi="仿宋" w:hint="eastAsia"/>
          <w:b/>
          <w:sz w:val="32"/>
          <w:szCs w:val="32"/>
        </w:rPr>
        <w:t>外事接待支出</w:t>
      </w:r>
      <w:r>
        <w:rPr>
          <w:rFonts w:ascii="仿宋_GB2312" w:eastAsia="仿宋_GB2312" w:hint="eastAsia"/>
          <w:sz w:val="32"/>
          <w:szCs w:val="32"/>
          <w:lang w:val="en-US" w:eastAsia="zh-CN"/>
        </w:rPr>
        <w:t>0万元，</w:t>
      </w:r>
      <w:bookmarkStart w:id="63" w:name="_Toc15396610"/>
      <w:bookmarkStart w:id="64" w:name="_Toc15377218"/>
      <w:r>
        <w:rPr>
          <w:rFonts w:ascii="仿宋_GB2312" w:eastAsia="仿宋_GB2312" w:hint="eastAsia"/>
          <w:sz w:val="32"/>
          <w:szCs w:val="32"/>
          <w:lang w:val="en-US" w:eastAsia="zh-CN"/>
        </w:rPr>
        <w:t>较上年无变化。</w:t>
      </w:r>
      <w:bookmarkEnd w:id="62"/>
    </w:p>
    <w:p>
      <w:pPr>
        <w:spacing w:line="600" w:lineRule="exact"/>
        <w:ind w:firstLine="640"/>
        <w:outlineLvl w:val="1"/>
        <w:rPr>
          <w:rFonts w:ascii="黑体" w:eastAsia="黑体" w:hint="eastAsia"/>
          <w:b w:val="0"/>
          <w:bCs w:val="0"/>
          <w:sz w:val="32"/>
          <w:szCs w:val="32"/>
        </w:rPr>
      </w:pPr>
      <w:bookmarkStart w:id="65" w:name="_Toc31947"/>
      <w:r>
        <w:rPr>
          <w:rFonts w:ascii="黑体" w:eastAsia="黑体" w:hint="eastAsia"/>
          <w:b w:val="0"/>
          <w:bCs w:val="0"/>
          <w:sz w:val="32"/>
          <w:szCs w:val="32"/>
        </w:rPr>
        <w:t>八、政府性基金预算支出决算情况说明</w:t>
      </w:r>
      <w:bookmarkEnd w:id="63"/>
      <w:bookmarkEnd w:id="64"/>
      <w:bookmarkEnd w:id="65"/>
    </w:p>
    <w:p>
      <w:pPr>
        <w:spacing w:line="600" w:lineRule="exact"/>
        <w:ind w:firstLine="640"/>
        <w:outlineLvl w:val="1"/>
        <w:rPr>
          <w:rFonts w:ascii="仿宋_GB2312" w:eastAsia="仿宋_GB2312" w:hint="eastAsia"/>
          <w:sz w:val="32"/>
          <w:szCs w:val="32"/>
          <w:lang w:val="en-US" w:eastAsia="zh-CN"/>
        </w:rPr>
      </w:pPr>
      <w:r>
        <w:rPr>
          <w:rFonts w:ascii="仿宋_GB2312" w:eastAsia="仿宋_GB2312" w:hint="eastAsia"/>
          <w:sz w:val="32"/>
          <w:szCs w:val="32"/>
          <w:lang w:val="en-US" w:eastAsia="zh-CN"/>
        </w:rPr>
        <w:t>2022年无政府性基金预算财政拨款支出。</w:t>
      </w:r>
    </w:p>
    <w:p>
      <w:pPr>
        <w:numPr>
          <w:ilvl w:val="0"/>
          <w:numId w:val="3"/>
        </w:numPr>
        <w:spacing w:line="600" w:lineRule="exact"/>
        <w:ind w:left="0" w:firstLine="640"/>
        <w:outlineLvl w:val="1"/>
        <w:rPr>
          <w:rStyle w:val="2Char"/>
          <w:rFonts w:ascii="黑体" w:eastAsia="黑体" w:hAnsi="黑体" w:hint="eastAsia"/>
          <w:b w:val="0"/>
        </w:rPr>
      </w:pPr>
      <w:bookmarkStart w:id="66" w:name="_Toc22909"/>
      <w:bookmarkStart w:id="67" w:name="_Toc15377219"/>
      <w:bookmarkStart w:id="68" w:name="_Toc15396611"/>
      <w:r>
        <w:rPr>
          <w:rStyle w:val="2Char"/>
          <w:rFonts w:ascii="黑体" w:eastAsia="黑体" w:hAnsi="黑体" w:hint="eastAsia"/>
          <w:b w:val="0"/>
        </w:rPr>
        <w:t>国有资本经营预算支出决算情况说明</w:t>
      </w:r>
      <w:bookmarkEnd w:id="66"/>
      <w:bookmarkEnd w:id="67"/>
      <w:bookmarkEnd w:id="68"/>
    </w:p>
    <w:p>
      <w:pPr>
        <w:spacing w:line="600" w:lineRule="exact"/>
        <w:ind w:firstLine="640"/>
        <w:outlineLvl w:val="1"/>
        <w:rPr>
          <w:rFonts w:ascii="仿宋_GB2312" w:eastAsia="仿宋_GB2312" w:hint="eastAsia"/>
          <w:sz w:val="32"/>
          <w:szCs w:val="32"/>
          <w:lang w:val="en-US" w:eastAsia="zh-CN"/>
        </w:rPr>
      </w:pPr>
      <w:r>
        <w:rPr>
          <w:rFonts w:ascii="仿宋_GB2312" w:eastAsia="仿宋_GB2312" w:hint="eastAsia"/>
          <w:sz w:val="32"/>
          <w:szCs w:val="32"/>
          <w:lang w:val="en-US" w:eastAsia="zh-CN"/>
        </w:rPr>
        <w:t>2022年无国有资本经营预算财政拨款支出。</w:t>
      </w:r>
    </w:p>
    <w:p>
      <w:pPr>
        <w:numPr>
          <w:ilvl w:val="0"/>
          <w:numId w:val="3"/>
        </w:numPr>
        <w:spacing w:line="600" w:lineRule="exact"/>
        <w:ind w:left="0" w:firstLine="640"/>
        <w:outlineLvl w:val="1"/>
        <w:rPr>
          <w:rStyle w:val="2Char"/>
          <w:rFonts w:ascii="黑体" w:eastAsia="黑体" w:hAnsi="黑体" w:hint="eastAsia"/>
          <w:b w:val="0"/>
        </w:rPr>
      </w:pPr>
      <w:bookmarkStart w:id="69" w:name="_Toc15377221"/>
      <w:bookmarkStart w:id="70" w:name="_Toc15396612"/>
      <w:bookmarkStart w:id="71" w:name="_Toc7492"/>
      <w:r>
        <w:rPr>
          <w:rStyle w:val="2Char"/>
          <w:rFonts w:ascii="黑体" w:eastAsia="黑体" w:hAnsi="黑体" w:hint="eastAsia"/>
          <w:b w:val="0"/>
        </w:rPr>
        <w:t>其他重要事项的情况说明</w:t>
      </w:r>
      <w:bookmarkEnd w:id="69"/>
      <w:bookmarkEnd w:id="70"/>
      <w:bookmarkEnd w:id="71"/>
    </w:p>
    <w:p>
      <w:pPr>
        <w:spacing w:line="600" w:lineRule="exact"/>
        <w:ind w:firstLineChars="200" w:firstLine="640"/>
        <w:outlineLvl w:val="2"/>
        <w:rPr>
          <w:rFonts w:ascii="仿宋" w:eastAsia="仿宋" w:hAnsi="仿宋" w:hint="eastAsia"/>
          <w:b/>
          <w:sz w:val="32"/>
          <w:szCs w:val="32"/>
        </w:rPr>
      </w:pPr>
      <w:bookmarkStart w:id="72" w:name="_Toc15377222"/>
      <w:r>
        <w:rPr>
          <w:rFonts w:ascii="仿宋" w:eastAsia="仿宋" w:hAnsi="仿宋" w:hint="eastAsia"/>
          <w:b/>
          <w:sz w:val="32"/>
          <w:szCs w:val="32"/>
        </w:rPr>
        <w:t>（一）机关运行经费支出情况</w:t>
      </w:r>
      <w:bookmarkEnd w:id="72"/>
    </w:p>
    <w:p>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w:t>
      </w:r>
      <w:r>
        <w:rPr>
          <w:rFonts w:ascii="仿宋_GB2312" w:eastAsia="仿宋_GB2312" w:hint="eastAsia"/>
          <w:sz w:val="32"/>
          <w:szCs w:val="32"/>
          <w:lang w:eastAsia="zh-CN"/>
        </w:rPr>
        <w:t>市文联</w:t>
      </w:r>
      <w:r>
        <w:rPr>
          <w:rFonts w:ascii="仿宋_GB2312" w:eastAsia="仿宋_GB2312" w:hint="eastAsia"/>
          <w:sz w:val="32"/>
          <w:szCs w:val="32"/>
        </w:rPr>
        <w:t>机关运行经费支出</w:t>
      </w:r>
      <w:r>
        <w:rPr>
          <w:rFonts w:ascii="仿宋_GB2312" w:eastAsia="仿宋_GB2312" w:hint="eastAsia"/>
          <w:sz w:val="32"/>
          <w:szCs w:val="32"/>
          <w:lang w:val="en-US" w:eastAsia="zh-CN"/>
        </w:rPr>
        <w:t>52.85</w:t>
      </w:r>
      <w:r>
        <w:rPr>
          <w:rFonts w:ascii="仿宋_GB2312" w:eastAsia="仿宋_GB2312" w:hint="eastAsia"/>
          <w:sz w:val="32"/>
          <w:szCs w:val="32"/>
        </w:rPr>
        <w:t>万元，比</w:t>
      </w:r>
      <w:r>
        <w:rPr>
          <w:rFonts w:ascii="仿宋_GB2312" w:eastAsia="仿宋_GB2312"/>
          <w:sz w:val="32"/>
          <w:szCs w:val="32"/>
        </w:rPr>
        <w:t>20</w:t>
      </w:r>
      <w:r>
        <w:rPr>
          <w:rFonts w:ascii="仿宋_GB2312" w:eastAsia="仿宋_GB2312" w:hint="eastAsia"/>
          <w:sz w:val="32"/>
          <w:szCs w:val="32"/>
        </w:rPr>
        <w:t>21年减少</w:t>
      </w:r>
      <w:r>
        <w:rPr>
          <w:rFonts w:ascii="仿宋_GB2312" w:eastAsia="仿宋_GB2312" w:hint="eastAsia"/>
          <w:sz w:val="32"/>
          <w:szCs w:val="32"/>
          <w:lang w:val="en-US" w:eastAsia="zh-CN"/>
        </w:rPr>
        <w:t>2.27</w:t>
      </w:r>
      <w:r>
        <w:rPr>
          <w:rFonts w:ascii="仿宋_GB2312" w:eastAsia="仿宋_GB2312" w:hint="eastAsia"/>
          <w:sz w:val="32"/>
          <w:szCs w:val="32"/>
        </w:rPr>
        <w:t>万元，下降</w:t>
      </w:r>
      <w:r>
        <w:rPr>
          <w:rFonts w:ascii="仿宋_GB2312" w:eastAsia="仿宋_GB2312" w:hint="eastAsia"/>
          <w:sz w:val="32"/>
          <w:szCs w:val="32"/>
          <w:lang w:val="en-US" w:eastAsia="zh-CN"/>
        </w:rPr>
        <w:t>4.98</w:t>
      </w:r>
      <w:r>
        <w:rPr>
          <w:rFonts w:ascii="仿宋_GB2312" w:eastAsia="仿宋_GB2312"/>
          <w:sz w:val="32"/>
          <w:szCs w:val="32"/>
        </w:rPr>
        <w:t>%</w:t>
      </w:r>
      <w:r>
        <w:rPr>
          <w:rFonts w:ascii="仿宋_GB2312" w:eastAsia="仿宋_GB2312" w:hint="eastAsia"/>
          <w:sz w:val="32"/>
          <w:szCs w:val="32"/>
          <w:lang w:eastAsia="zh-CN"/>
        </w:rPr>
        <w:t>，</w:t>
      </w:r>
      <w:r>
        <w:rPr>
          <w:rFonts w:ascii="仿宋_GB2312" w:eastAsia="仿宋_GB2312" w:hint="eastAsia"/>
          <w:sz w:val="32"/>
          <w:szCs w:val="32"/>
        </w:rPr>
        <w:t>主要原因是</w:t>
      </w:r>
      <w:r>
        <w:rPr>
          <w:rFonts w:ascii="仿宋_GB2312" w:eastAsia="仿宋_GB2312" w:hint="eastAsia"/>
          <w:sz w:val="32"/>
          <w:szCs w:val="32"/>
          <w:lang w:eastAsia="zh-CN"/>
        </w:rPr>
        <w:t>认真贯彻落实“党政机关要坚持过紧日子”的要求，厉行节俭</w:t>
      </w:r>
      <w:r>
        <w:rPr>
          <w:rFonts w:ascii="仿宋_GB2312" w:eastAsia="仿宋_GB2312" w:hint="eastAsia"/>
          <w:sz w:val="32"/>
          <w:szCs w:val="32"/>
        </w:rPr>
        <w:t>。</w:t>
      </w:r>
    </w:p>
    <w:p>
      <w:pPr>
        <w:autoSpaceDE w:val="0"/>
        <w:autoSpaceDN w:val="0"/>
        <w:adjustRightInd w:val="0"/>
        <w:spacing w:line="600" w:lineRule="exact"/>
        <w:ind w:firstLineChars="200" w:firstLine="640"/>
        <w:jc w:val="left"/>
        <w:outlineLvl w:val="2"/>
        <w:rPr>
          <w:rFonts w:ascii="仿宋" w:eastAsia="仿宋" w:hAnsi="仿宋"/>
          <w:b/>
          <w:sz w:val="32"/>
          <w:szCs w:val="32"/>
        </w:rPr>
      </w:pPr>
      <w:bookmarkStart w:id="73" w:name="_Toc15377223"/>
      <w:r>
        <w:rPr>
          <w:rFonts w:ascii="仿宋" w:eastAsia="仿宋" w:hAnsi="仿宋" w:hint="eastAsia"/>
          <w:b/>
          <w:sz w:val="32"/>
          <w:szCs w:val="32"/>
        </w:rPr>
        <w:t>（二）政府采购支出情况</w:t>
      </w:r>
      <w:bookmarkEnd w:id="73"/>
    </w:p>
    <w:p>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w:t>
      </w:r>
      <w:r>
        <w:rPr>
          <w:rFonts w:ascii="仿宋_GB2312" w:eastAsia="仿宋_GB2312" w:hint="eastAsia"/>
          <w:sz w:val="32"/>
          <w:szCs w:val="32"/>
          <w:lang w:eastAsia="zh-CN"/>
        </w:rPr>
        <w:t>市文联无</w:t>
      </w:r>
      <w:r>
        <w:rPr>
          <w:rFonts w:ascii="仿宋_GB2312" w:eastAsia="仿宋_GB2312" w:hint="eastAsia"/>
          <w:sz w:val="32"/>
          <w:szCs w:val="32"/>
        </w:rPr>
        <w:t>政府采购支出，其中：政府采购货物支出</w:t>
      </w:r>
      <w:r>
        <w:rPr>
          <w:rFonts w:ascii="仿宋_GB2312" w:eastAsia="仿宋_GB2312" w:hint="eastAsia"/>
          <w:sz w:val="32"/>
          <w:szCs w:val="32"/>
          <w:lang w:val="en-US" w:eastAsia="zh-CN"/>
        </w:rPr>
        <w:t>0</w:t>
      </w:r>
      <w:r>
        <w:rPr>
          <w:rFonts w:ascii="仿宋_GB2312" w:eastAsia="仿宋_GB2312" w:hint="eastAsia"/>
          <w:sz w:val="32"/>
          <w:szCs w:val="32"/>
        </w:rPr>
        <w:t>万元、政府采购工程支出</w:t>
      </w:r>
      <w:r>
        <w:rPr>
          <w:rFonts w:ascii="仿宋_GB2312" w:eastAsia="仿宋_GB2312" w:hint="eastAsia"/>
          <w:sz w:val="32"/>
          <w:szCs w:val="32"/>
          <w:lang w:val="en-US" w:eastAsia="zh-CN"/>
        </w:rPr>
        <w:t>0</w:t>
      </w:r>
      <w:r>
        <w:rPr>
          <w:rFonts w:ascii="仿宋_GB2312" w:eastAsia="仿宋_GB2312" w:hint="eastAsia"/>
          <w:sz w:val="32"/>
          <w:szCs w:val="32"/>
        </w:rPr>
        <w:t>万元、政府采购服务支出</w:t>
      </w:r>
      <w:r>
        <w:rPr>
          <w:rFonts w:ascii="仿宋_GB2312" w:eastAsia="仿宋_GB2312" w:hint="eastAsia"/>
          <w:sz w:val="32"/>
          <w:szCs w:val="32"/>
          <w:lang w:val="en-US" w:eastAsia="zh-CN"/>
        </w:rPr>
        <w:t>0</w:t>
      </w:r>
      <w:r>
        <w:rPr>
          <w:rFonts w:ascii="仿宋_GB2312" w:eastAsia="仿宋_GB2312" w:hint="eastAsia"/>
          <w:sz w:val="32"/>
          <w:szCs w:val="32"/>
        </w:rPr>
        <w:t>万元。授予中小企业合同金额</w:t>
      </w:r>
      <w:r>
        <w:rPr>
          <w:rFonts w:ascii="仿宋_GB2312" w:eastAsia="仿宋_GB2312" w:hint="eastAsia"/>
          <w:sz w:val="32"/>
          <w:szCs w:val="32"/>
          <w:lang w:val="en-US" w:eastAsia="zh-CN"/>
        </w:rPr>
        <w:t>0</w:t>
      </w:r>
      <w:r>
        <w:rPr>
          <w:rFonts w:ascii="仿宋_GB2312" w:eastAsia="仿宋_GB2312" w:hint="eastAsia"/>
          <w:sz w:val="32"/>
          <w:szCs w:val="32"/>
        </w:rPr>
        <w:t>万元，占政府采购支出总额的</w:t>
      </w:r>
      <w:r>
        <w:rPr>
          <w:rFonts w:ascii="仿宋_GB2312" w:eastAsia="仿宋_GB2312" w:hint="eastAsia"/>
          <w:sz w:val="32"/>
          <w:szCs w:val="32"/>
          <w:lang w:val="en-US" w:eastAsia="zh-CN"/>
        </w:rPr>
        <w:t>0</w:t>
      </w:r>
      <w:r>
        <w:rPr>
          <w:rFonts w:ascii="仿宋_GB2312" w:eastAsia="仿宋_GB2312"/>
          <w:sz w:val="32"/>
          <w:szCs w:val="32"/>
        </w:rPr>
        <w:t>%</w:t>
      </w:r>
      <w:r>
        <w:rPr>
          <w:rFonts w:ascii="仿宋_GB2312" w:eastAsia="仿宋_GB2312" w:hint="eastAsia"/>
          <w:sz w:val="32"/>
          <w:szCs w:val="32"/>
        </w:rPr>
        <w:t>，其中：授予小微企业合同金额</w:t>
      </w:r>
      <w:r>
        <w:rPr>
          <w:rFonts w:ascii="仿宋_GB2312" w:eastAsia="仿宋_GB2312" w:hint="eastAsia"/>
          <w:sz w:val="32"/>
          <w:szCs w:val="32"/>
          <w:lang w:val="en-US" w:eastAsia="zh-CN"/>
        </w:rPr>
        <w:t>0</w:t>
      </w:r>
      <w:r>
        <w:rPr>
          <w:rFonts w:ascii="仿宋_GB2312" w:eastAsia="仿宋_GB2312" w:hint="eastAsia"/>
          <w:sz w:val="32"/>
          <w:szCs w:val="32"/>
        </w:rPr>
        <w:t>万元，占政府采购支出总额的</w:t>
      </w:r>
      <w:r>
        <w:rPr>
          <w:rFonts w:ascii="仿宋_GB2312" w:eastAsia="仿宋_GB2312" w:hint="eastAsia"/>
          <w:sz w:val="32"/>
          <w:szCs w:val="32"/>
          <w:lang w:val="en-US" w:eastAsia="zh-CN"/>
        </w:rPr>
        <w:t>0</w:t>
      </w:r>
      <w:r>
        <w:rPr>
          <w:rFonts w:ascii="仿宋_GB2312" w:eastAsia="仿宋_GB2312"/>
          <w:sz w:val="32"/>
          <w:szCs w:val="32"/>
        </w:rPr>
        <w:t>%</w:t>
      </w:r>
      <w:r>
        <w:rPr>
          <w:rFonts w:ascii="仿宋_GB2312" w:eastAsia="仿宋_GB2312" w:hint="eastAsia"/>
          <w:sz w:val="32"/>
          <w:szCs w:val="32"/>
        </w:rPr>
        <w:t>。</w:t>
      </w:r>
    </w:p>
    <w:p>
      <w:pPr>
        <w:autoSpaceDE w:val="0"/>
        <w:autoSpaceDN w:val="0"/>
        <w:adjustRightInd w:val="0"/>
        <w:spacing w:line="600" w:lineRule="exact"/>
        <w:ind w:firstLineChars="200" w:firstLine="640"/>
        <w:jc w:val="left"/>
        <w:outlineLvl w:val="2"/>
        <w:rPr>
          <w:rFonts w:ascii="仿宋" w:eastAsia="仿宋" w:hAnsi="仿宋"/>
          <w:b/>
          <w:sz w:val="32"/>
          <w:szCs w:val="32"/>
        </w:rPr>
      </w:pPr>
      <w:bookmarkStart w:id="74" w:name="_Toc15377224"/>
      <w:r>
        <w:rPr>
          <w:rFonts w:ascii="仿宋" w:eastAsia="仿宋" w:hAnsi="仿宋" w:hint="eastAsia"/>
          <w:b/>
          <w:sz w:val="32"/>
          <w:szCs w:val="32"/>
        </w:rPr>
        <w:t>（三）国有资产占有使用情况</w:t>
      </w:r>
      <w:bookmarkEnd w:id="74"/>
    </w:p>
    <w:p>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Pr>
          <w:rFonts w:ascii="仿宋_GB2312" w:eastAsia="仿宋_GB2312" w:hint="eastAsia"/>
          <w:sz w:val="32"/>
          <w:szCs w:val="32"/>
          <w:lang w:eastAsia="zh-CN"/>
        </w:rPr>
        <w:t>市文联</w:t>
      </w:r>
      <w:r>
        <w:rPr>
          <w:rFonts w:ascii="仿宋_GB2312" w:eastAsia="仿宋_GB2312" w:hint="eastAsia"/>
          <w:sz w:val="32"/>
          <w:szCs w:val="32"/>
        </w:rPr>
        <w:t>共有车辆</w:t>
      </w:r>
      <w:r>
        <w:rPr>
          <w:rFonts w:ascii="仿宋_GB2312" w:eastAsia="仿宋_GB2312" w:hint="eastAsia"/>
          <w:sz w:val="32"/>
          <w:szCs w:val="32"/>
          <w:lang w:val="en-US" w:eastAsia="zh-CN"/>
        </w:rPr>
        <w:t>1</w:t>
      </w:r>
      <w:r>
        <w:rPr>
          <w:rFonts w:ascii="仿宋_GB2312" w:eastAsia="仿宋_GB2312" w:hint="eastAsia"/>
          <w:sz w:val="32"/>
          <w:szCs w:val="32"/>
        </w:rPr>
        <w:t>辆，其中：主要领导干部用车</w:t>
      </w:r>
      <w:r>
        <w:rPr>
          <w:rFonts w:ascii="仿宋_GB2312" w:eastAsia="仿宋_GB2312" w:hint="eastAsia"/>
          <w:sz w:val="32"/>
          <w:szCs w:val="32"/>
          <w:lang w:val="en-US" w:eastAsia="zh-CN"/>
        </w:rPr>
        <w:t>0</w:t>
      </w:r>
      <w:r>
        <w:rPr>
          <w:rFonts w:ascii="仿宋_GB2312" w:eastAsia="仿宋_GB2312" w:hint="eastAsia"/>
          <w:sz w:val="32"/>
          <w:szCs w:val="32"/>
        </w:rPr>
        <w:t>辆、机要通信用车</w:t>
      </w:r>
      <w:r>
        <w:rPr>
          <w:rFonts w:ascii="仿宋_GB2312" w:eastAsia="仿宋_GB2312" w:hint="eastAsia"/>
          <w:sz w:val="32"/>
          <w:szCs w:val="32"/>
          <w:lang w:val="en-US" w:eastAsia="zh-CN"/>
        </w:rPr>
        <w:t>0</w:t>
      </w:r>
      <w:r>
        <w:rPr>
          <w:rFonts w:ascii="仿宋_GB2312" w:eastAsia="仿宋_GB2312" w:hint="eastAsia"/>
          <w:sz w:val="32"/>
          <w:szCs w:val="32"/>
        </w:rPr>
        <w:t>辆、应急保障用车</w:t>
      </w:r>
      <w:r>
        <w:rPr>
          <w:rFonts w:ascii="仿宋_GB2312" w:eastAsia="仿宋_GB2312" w:hint="eastAsia"/>
          <w:sz w:val="32"/>
          <w:szCs w:val="32"/>
          <w:lang w:val="en-US" w:eastAsia="zh-CN"/>
        </w:rPr>
        <w:t>0</w:t>
      </w:r>
      <w:r>
        <w:rPr>
          <w:rFonts w:ascii="仿宋_GB2312" w:eastAsia="仿宋_GB2312" w:hint="eastAsia"/>
          <w:sz w:val="32"/>
          <w:szCs w:val="32"/>
        </w:rPr>
        <w:t>辆、其他用车</w:t>
      </w:r>
      <w:r>
        <w:rPr>
          <w:rFonts w:ascii="仿宋_GB2312" w:eastAsia="仿宋_GB2312" w:hint="eastAsia"/>
          <w:sz w:val="32"/>
          <w:szCs w:val="32"/>
          <w:lang w:val="en-US" w:eastAsia="zh-CN"/>
        </w:rPr>
        <w:t>1</w:t>
      </w:r>
      <w:r>
        <w:rPr>
          <w:rFonts w:ascii="仿宋_GB2312" w:eastAsia="仿宋_GB2312" w:hint="eastAsia"/>
          <w:sz w:val="32"/>
          <w:szCs w:val="32"/>
        </w:rPr>
        <w:t>辆，其他用车主要是用于攀枝花文学院、攀枝花市书画院</w:t>
      </w:r>
      <w:r>
        <w:rPr>
          <w:rFonts w:ascii="仿宋_GB2312" w:eastAsia="仿宋_GB2312" w:hint="eastAsia"/>
          <w:sz w:val="32"/>
          <w:szCs w:val="32"/>
          <w:lang w:eastAsia="zh-CN"/>
        </w:rPr>
        <w:t>事业单位</w:t>
      </w:r>
      <w:r>
        <w:rPr>
          <w:rFonts w:ascii="仿宋_GB2312" w:eastAsia="仿宋_GB2312" w:hint="eastAsia"/>
          <w:sz w:val="32"/>
          <w:szCs w:val="32"/>
        </w:rPr>
        <w:t>开展日常业务工作，组织文艺及文艺惠民活动、送文化下乡、开办《攀枝花</w:t>
      </w:r>
      <w:r>
        <w:rPr>
          <w:rFonts w:ascii="仿宋_GB2312" w:eastAsia="仿宋_GB2312"/>
          <w:sz w:val="32"/>
          <w:szCs w:val="32"/>
        </w:rPr>
        <w:t>文学</w:t>
      </w:r>
      <w:r>
        <w:rPr>
          <w:rFonts w:ascii="仿宋_GB2312" w:eastAsia="仿宋_GB2312" w:hint="eastAsia"/>
          <w:sz w:val="32"/>
          <w:szCs w:val="32"/>
        </w:rPr>
        <w:t>》杂志等业务活动。单价</w:t>
      </w:r>
      <w:r>
        <w:rPr>
          <w:rFonts w:ascii="仿宋_GB2312" w:eastAsia="仿宋_GB2312"/>
          <w:sz w:val="32"/>
          <w:szCs w:val="32"/>
        </w:rPr>
        <w:t>100</w:t>
      </w:r>
      <w:r>
        <w:rPr>
          <w:rFonts w:ascii="仿宋_GB2312" w:eastAsia="仿宋_GB2312" w:hint="eastAsia"/>
          <w:sz w:val="32"/>
          <w:szCs w:val="32"/>
        </w:rPr>
        <w:t>万元以上专用设备</w:t>
      </w:r>
      <w:r>
        <w:rPr>
          <w:rFonts w:ascii="仿宋_GB2312" w:eastAsia="仿宋_GB2312" w:hint="eastAsia"/>
          <w:sz w:val="32"/>
          <w:szCs w:val="32"/>
          <w:lang w:val="en-US" w:eastAsia="zh-CN"/>
        </w:rPr>
        <w:t>0</w:t>
      </w:r>
      <w:r>
        <w:rPr>
          <w:rFonts w:ascii="仿宋_GB2312" w:eastAsia="仿宋_GB2312" w:hint="eastAsia"/>
          <w:sz w:val="32"/>
          <w:szCs w:val="32"/>
        </w:rPr>
        <w:t>台（套）。</w:t>
      </w:r>
    </w:p>
    <w:p>
      <w:pPr>
        <w:autoSpaceDE w:val="0"/>
        <w:autoSpaceDN w:val="0"/>
        <w:adjustRightInd w:val="0"/>
        <w:spacing w:line="600" w:lineRule="exact"/>
        <w:ind w:firstLineChars="200" w:firstLine="640"/>
        <w:jc w:val="left"/>
        <w:outlineLvl w:val="2"/>
        <w:rPr>
          <w:rFonts w:ascii="仿宋" w:eastAsia="仿宋" w:hAnsi="仿宋"/>
          <w:b/>
          <w:sz w:val="32"/>
          <w:szCs w:val="32"/>
        </w:rPr>
      </w:pPr>
      <w:r>
        <w:rPr>
          <w:rFonts w:ascii="仿宋" w:eastAsia="仿宋" w:hAnsi="仿宋" w:hint="eastAsia"/>
          <w:b/>
          <w:sz w:val="32"/>
          <w:szCs w:val="32"/>
        </w:rPr>
        <w:t>（四）预算绩效管理情况</w:t>
      </w:r>
    </w:p>
    <w:p>
      <w:pPr>
        <w:autoSpaceDE w:val="0"/>
        <w:autoSpaceDN w:val="0"/>
        <w:adjustRightInd w:val="0"/>
        <w:spacing w:line="600" w:lineRule="exact"/>
        <w:ind w:firstLineChars="200" w:firstLine="640"/>
        <w:jc w:val="left"/>
        <w:rPr>
          <w:rFonts w:ascii="仿宋_GB2312" w:eastAsia="仿宋_GB2312" w:hint="eastAsia"/>
          <w:sz w:val="32"/>
          <w:szCs w:val="32"/>
        </w:rPr>
      </w:pPr>
      <w:r>
        <w:rPr>
          <w:rFonts w:ascii="仿宋_GB2312" w:eastAsia="仿宋_GB2312" w:hint="eastAsia"/>
          <w:sz w:val="32"/>
          <w:szCs w:val="32"/>
        </w:rPr>
        <w:t>根据预算绩效管理要求，本部门在2022年度预算编制阶段，组织对</w:t>
      </w:r>
      <w:r>
        <w:rPr>
          <w:rFonts w:ascii="仿宋_GB2312" w:eastAsia="仿宋_GB2312" w:hint="eastAsia"/>
          <w:sz w:val="32"/>
          <w:szCs w:val="32"/>
          <w:lang w:eastAsia="zh-CN"/>
        </w:rPr>
        <w:t>“</w:t>
      </w:r>
      <w:r>
        <w:rPr>
          <w:rFonts w:ascii="仿宋_GB2312" w:eastAsia="仿宋_GB2312" w:cs="仿宋_GB2312" w:hAnsi="仿宋_GB2312" w:hint="eastAsia"/>
          <w:kern w:val="0"/>
          <w:sz w:val="32"/>
          <w:szCs w:val="32"/>
          <w:shd w:val="clear" w:color="auto" w:fill="FFFFFF"/>
          <w:lang w:val="en-US" w:eastAsia="zh-CN"/>
        </w:rPr>
        <w:t>庆祝中国共产党成立100周年系列文艺活动</w:t>
      </w:r>
      <w:r>
        <w:rPr>
          <w:rFonts w:ascii="仿宋_GB2312" w:eastAsia="仿宋_GB2312" w:hint="eastAsia"/>
          <w:sz w:val="32"/>
          <w:szCs w:val="32"/>
          <w:lang w:eastAsia="zh-CN"/>
        </w:rPr>
        <w:t>”、“新时代攀枝花精神凝练工作经费”等</w:t>
      </w:r>
      <w:r>
        <w:rPr>
          <w:rFonts w:ascii="仿宋_GB2312" w:eastAsia="仿宋_GB2312" w:hint="eastAsia"/>
          <w:sz w:val="32"/>
          <w:szCs w:val="32"/>
          <w:lang w:val="en-US" w:eastAsia="zh-CN"/>
        </w:rPr>
        <w:t>2</w:t>
      </w:r>
      <w:r>
        <w:rPr>
          <w:rFonts w:ascii="仿宋_GB2312" w:eastAsia="仿宋_GB2312" w:hint="eastAsia"/>
          <w:sz w:val="32"/>
          <w:szCs w:val="32"/>
        </w:rPr>
        <w:t>个项目开展了预算事前绩效评估，对</w:t>
      </w:r>
      <w:r>
        <w:rPr>
          <w:rFonts w:ascii="仿宋_GB2312" w:eastAsia="仿宋_GB2312" w:hint="eastAsia"/>
          <w:sz w:val="32"/>
          <w:szCs w:val="32"/>
          <w:lang w:val="en-US" w:eastAsia="zh-CN"/>
        </w:rPr>
        <w:t>2</w:t>
      </w:r>
      <w:r>
        <w:rPr>
          <w:rFonts w:ascii="仿宋_GB2312" w:eastAsia="仿宋_GB2312" w:hint="eastAsia"/>
          <w:sz w:val="32"/>
          <w:szCs w:val="32"/>
        </w:rPr>
        <w:t>个项目编制了绩效目标，预算执行过程中，选取</w:t>
      </w:r>
      <w:r>
        <w:rPr>
          <w:rFonts w:ascii="仿宋_GB2312" w:eastAsia="仿宋_GB2312" w:hint="eastAsia"/>
          <w:sz w:val="32"/>
          <w:szCs w:val="32"/>
          <w:lang w:val="en-US" w:eastAsia="zh-CN"/>
        </w:rPr>
        <w:t>2</w:t>
      </w:r>
      <w:r>
        <w:rPr>
          <w:rFonts w:ascii="仿宋_GB2312" w:eastAsia="仿宋_GB2312" w:hint="eastAsia"/>
          <w:sz w:val="32"/>
          <w:szCs w:val="32"/>
        </w:rPr>
        <w:t>个项目开展绩效</w:t>
      </w:r>
      <w:r>
        <w:rPr>
          <w:rFonts w:ascii="仿宋_GB2312" w:eastAsia="仿宋_GB2312" w:hint="eastAsia"/>
          <w:sz w:val="32"/>
          <w:szCs w:val="32"/>
          <w:lang w:eastAsia="zh-CN"/>
        </w:rPr>
        <w:t>自评</w:t>
      </w:r>
      <w:r>
        <w:rPr>
          <w:rFonts w:ascii="仿宋_GB2312" w:eastAsia="仿宋_GB2312" w:hint="eastAsia"/>
          <w:sz w:val="32"/>
          <w:szCs w:val="32"/>
        </w:rPr>
        <w:t>。</w:t>
      </w:r>
    </w:p>
    <w:p>
      <w:pPr>
        <w:autoSpaceDE w:val="0"/>
        <w:autoSpaceDN w:val="0"/>
        <w:adjustRightInd w:val="0"/>
        <w:spacing w:line="600" w:lineRule="exact"/>
        <w:ind w:firstLineChars="200" w:firstLine="640"/>
        <w:jc w:val="left"/>
        <w:rPr>
          <w:rFonts w:ascii="仿宋_GB2312" w:eastAsia="仿宋_GB2312"/>
          <w:b/>
          <w:sz w:val="32"/>
          <w:szCs w:val="32"/>
        </w:rPr>
      </w:pPr>
      <w:r>
        <w:rPr>
          <w:rFonts w:ascii="仿宋_GB2312" w:eastAsia="仿宋_GB2312" w:hint="eastAsia"/>
          <w:sz w:val="32"/>
          <w:szCs w:val="32"/>
          <w:lang w:eastAsia="zh-CN"/>
        </w:rPr>
        <w:t>同时，本部门</w:t>
      </w:r>
      <w:r>
        <w:rPr>
          <w:rFonts w:ascii="仿宋_GB2312" w:eastAsia="仿宋_GB2312" w:hint="eastAsia"/>
          <w:sz w:val="32"/>
          <w:szCs w:val="32"/>
        </w:rPr>
        <w:t>组织对2022年度一般公共预算、政府性基金预算、国有资本经营预算、社会保险基金预算以及资本资产、债券资金等全面开展绩效自评，形成</w:t>
      </w:r>
      <w:r>
        <w:rPr>
          <w:rFonts w:ascii="仿宋_GB2312" w:eastAsia="仿宋_GB2312" w:hint="eastAsia"/>
          <w:sz w:val="32"/>
          <w:szCs w:val="32"/>
          <w:lang w:eastAsia="zh-CN"/>
        </w:rPr>
        <w:t>市文联</w:t>
      </w:r>
      <w:r>
        <w:rPr>
          <w:rFonts w:ascii="仿宋_GB2312" w:eastAsia="仿宋_GB2312" w:hint="eastAsia"/>
          <w:sz w:val="32"/>
          <w:szCs w:val="32"/>
        </w:rPr>
        <w:t>部门整体（含部门预算项目）绩效自评报告，其中，</w:t>
      </w:r>
      <w:r>
        <w:rPr>
          <w:rFonts w:ascii="仿宋_GB2312" w:eastAsia="仿宋_GB2312" w:hint="eastAsia"/>
          <w:sz w:val="32"/>
          <w:szCs w:val="32"/>
          <w:lang w:eastAsia="zh-CN"/>
        </w:rPr>
        <w:t>市文联</w:t>
      </w:r>
      <w:r>
        <w:rPr>
          <w:rFonts w:ascii="仿宋_GB2312" w:eastAsia="仿宋_GB2312" w:hint="eastAsia"/>
          <w:sz w:val="32"/>
          <w:szCs w:val="32"/>
        </w:rPr>
        <w:t>部门整体（含部门预算项目）绩效自评得分为</w:t>
      </w:r>
      <w:r>
        <w:rPr>
          <w:rFonts w:ascii="仿宋_GB2312" w:eastAsia="仿宋_GB2312" w:hint="eastAsia"/>
          <w:sz w:val="32"/>
          <w:szCs w:val="32"/>
          <w:lang w:val="en-US" w:eastAsia="zh-CN"/>
        </w:rPr>
        <w:t>94.45</w:t>
      </w:r>
      <w:r>
        <w:rPr>
          <w:rFonts w:ascii="仿宋_GB2312" w:eastAsia="仿宋_GB2312" w:hint="eastAsia"/>
          <w:sz w:val="32"/>
          <w:szCs w:val="32"/>
        </w:rPr>
        <w:t>分，绩效自评综述：</w:t>
      </w:r>
      <w:r>
        <w:rPr>
          <w:rFonts w:ascii="仿宋_GB2312" w:eastAsia="仿宋_GB2312" w:hint="eastAsia"/>
          <w:sz w:val="32"/>
          <w:szCs w:val="32"/>
          <w:lang w:val="en-US" w:eastAsia="zh-CN"/>
        </w:rPr>
        <w:t>成本低，完成绩效目标较好</w:t>
      </w:r>
      <w:r>
        <w:rPr>
          <w:rFonts w:ascii="仿宋_GB2312" w:eastAsia="仿宋_GB2312" w:hint="eastAsia"/>
          <w:sz w:val="32"/>
          <w:szCs w:val="32"/>
        </w:rPr>
        <w:t>。</w:t>
      </w:r>
      <w:r>
        <w:rPr>
          <w:rFonts w:ascii="仿宋_GB2312" w:eastAsia="仿宋_GB2312" w:hint="eastAsia"/>
          <w:sz w:val="32"/>
          <w:szCs w:val="32"/>
          <w:lang w:val="en-US" w:eastAsia="zh-CN"/>
        </w:rPr>
        <w:t>《2</w:t>
      </w:r>
      <w:r>
        <w:rPr>
          <w:rFonts w:ascii="仿宋_GB2312" w:eastAsia="仿宋_GB2312" w:hint="eastAsia"/>
          <w:sz w:val="32"/>
          <w:szCs w:val="32"/>
          <w:lang w:eastAsia="zh-CN"/>
        </w:rPr>
        <w:t>02</w:t>
      </w:r>
      <w:r>
        <w:rPr>
          <w:rFonts w:ascii="仿宋_GB2312" w:eastAsia="仿宋_GB2312" w:hint="eastAsia"/>
          <w:sz w:val="32"/>
          <w:szCs w:val="32"/>
          <w:lang w:val="en-US" w:eastAsia="zh-CN"/>
        </w:rPr>
        <w:t>2</w:t>
      </w:r>
      <w:r>
        <w:rPr>
          <w:rFonts w:ascii="仿宋_GB2312" w:eastAsia="仿宋_GB2312" w:hint="eastAsia"/>
          <w:sz w:val="32"/>
          <w:szCs w:val="32"/>
          <w:lang w:eastAsia="zh-CN"/>
        </w:rPr>
        <w:t>年市文联部门整体绩效评价报告》见附件（第四部分）。</w:t>
      </w:r>
      <w:r>
        <w:rPr>
          <w:rFonts w:ascii="仿宋_GB2312" w:eastAsia="仿宋_GB2312"/>
          <w:b/>
          <w:sz w:val="32"/>
          <w:szCs w:val="32"/>
        </w:rPr>
        <w:br w:type="page"/>
      </w:r>
    </w:p>
    <w:p>
      <w:pPr>
        <w:numPr>
          <w:ilvl w:val="0"/>
          <w:numId w:val="4"/>
        </w:numPr>
        <w:spacing w:line="600" w:lineRule="exact"/>
        <w:ind w:left="0" w:firstLineChars="150" w:firstLine="660"/>
        <w:jc w:val="center"/>
        <w:outlineLvl w:val="0"/>
        <w:rPr>
          <w:rStyle w:val="1Char"/>
          <w:rFonts w:ascii="黑体" w:eastAsia="黑体" w:hAnsi="黑体"/>
          <w:b w:val="0"/>
        </w:rPr>
      </w:pPr>
      <w:bookmarkStart w:id="75" w:name="_Toc15396613"/>
      <w:bookmarkStart w:id="76" w:name="_Toc15377225"/>
      <w:bookmarkStart w:id="77" w:name="_Toc28694"/>
      <w:bookmarkStart w:id="78" w:name="_Toc1356"/>
      <w:r>
        <w:rPr>
          <w:rFonts w:ascii="黑体" w:eastAsia="黑体" w:hAnsi="黑体" w:hint="eastAsia"/>
          <w:sz w:val="44"/>
          <w:szCs w:val="44"/>
        </w:rPr>
        <w:t>名</w:t>
      </w:r>
      <w:r>
        <w:rPr>
          <w:rStyle w:val="1Char"/>
          <w:rFonts w:ascii="黑体" w:eastAsia="黑体" w:hAnsi="黑体" w:hint="eastAsia"/>
          <w:b w:val="0"/>
        </w:rPr>
        <w:t>词解释</w:t>
      </w:r>
      <w:bookmarkEnd w:id="75"/>
      <w:bookmarkEnd w:id="76"/>
      <w:bookmarkEnd w:id="77"/>
      <w:bookmarkEnd w:id="78"/>
    </w:p>
    <w:p>
      <w:pPr>
        <w:spacing w:line="600" w:lineRule="exact"/>
        <w:jc w:val="left"/>
        <w:rPr>
          <w:rFonts w:ascii="宋体"/>
          <w:b/>
          <w:sz w:val="44"/>
          <w:szCs w:val="44"/>
        </w:rPr>
      </w:pPr>
    </w:p>
    <w:p>
      <w:pPr>
        <w:pStyle w:val="34"/>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lang w:val="en-US" w:eastAsia="zh-CN"/>
        </w:rPr>
        <w:t>1.财政拨款收入：指单位从同级财政部门取得的财政预算资金。</w:t>
      </w:r>
      <w:r>
        <w:rPr>
          <w:rFonts w:ascii="仿宋_GB2312" w:eastAsia="仿宋_GB2312"/>
          <w:color w:val="auto"/>
          <w:sz w:val="32"/>
          <w:szCs w:val="32"/>
        </w:rPr>
        <w:t xml:space="preserve"> </w:t>
      </w:r>
    </w:p>
    <w:p>
      <w:pPr>
        <w:pStyle w:val="34"/>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lang w:val="en-US" w:eastAsia="zh-CN"/>
        </w:rPr>
        <w:t>2</w:t>
      </w:r>
      <w:r>
        <w:rPr>
          <w:rFonts w:ascii="仿宋_GB2312" w:eastAsia="仿宋_GB2312"/>
          <w:color w:val="auto"/>
          <w:sz w:val="32"/>
          <w:szCs w:val="32"/>
          <w:lang w:val="en-US" w:eastAsia="zh-CN"/>
        </w:rPr>
        <w:t>.</w:t>
      </w:r>
      <w:r>
        <w:rPr>
          <w:rFonts w:ascii="仿宋_GB2312" w:eastAsia="仿宋_GB2312" w:hint="eastAsia"/>
          <w:color w:val="auto"/>
          <w:sz w:val="32"/>
          <w:szCs w:val="32"/>
          <w:lang w:val="en-US" w:eastAsia="zh-CN"/>
        </w:rPr>
        <w:t>年初结转和结余：指以前年度尚未完成、结转到本年按有关规定继续使用的资金</w:t>
      </w:r>
      <w:r>
        <w:rPr>
          <w:rFonts w:ascii="仿宋_GB2312" w:eastAsia="仿宋_GB2312" w:hint="eastAsia"/>
          <w:color w:val="auto"/>
          <w:sz w:val="32"/>
          <w:szCs w:val="32"/>
        </w:rPr>
        <w:t>。</w:t>
      </w:r>
      <w:r>
        <w:rPr>
          <w:rFonts w:ascii="仿宋_GB2312" w:eastAsia="仿宋_GB2312"/>
          <w:color w:val="auto"/>
          <w:sz w:val="32"/>
          <w:szCs w:val="32"/>
        </w:rPr>
        <w:t xml:space="preserve"> </w:t>
      </w:r>
    </w:p>
    <w:p>
      <w:pPr>
        <w:pStyle w:val="34"/>
        <w:spacing w:line="560" w:lineRule="exact"/>
        <w:ind w:firstLineChars="200" w:firstLine="640"/>
        <w:rPr>
          <w:rFonts w:ascii="仿宋_GB2312" w:eastAsia="仿宋_GB2312" w:hint="eastAsia"/>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一般公共服务（类）群众团体事务（款）行政运行（项）：指反映行政单位（包括实行公务员管理的事业单位）的基本支出。如市文联用于保障机构正常运行、开展日常工作的基本支出。</w:t>
      </w:r>
    </w:p>
    <w:p>
      <w:pPr>
        <w:pStyle w:val="34"/>
        <w:spacing w:line="560" w:lineRule="exact"/>
        <w:ind w:firstLineChars="200" w:firstLine="640"/>
        <w:rPr>
          <w:rFonts w:ascii="仿宋_GB2312" w:eastAsia="仿宋_GB2312"/>
          <w:color w:val="auto"/>
          <w:sz w:val="32"/>
          <w:szCs w:val="32"/>
          <w:lang w:val="en-US" w:eastAsia="zh-CN"/>
        </w:rPr>
      </w:pPr>
      <w:r>
        <w:rPr>
          <w:rFonts w:ascii="仿宋_GB2312" w:eastAsia="仿宋_GB2312" w:hint="eastAsia"/>
          <w:color w:val="auto"/>
          <w:sz w:val="32"/>
          <w:szCs w:val="32"/>
          <w:lang w:val="en-US" w:eastAsia="zh-CN"/>
        </w:rPr>
        <w:t xml:space="preserve">  4.一般公共服务（类）群众团体事务（款）事业运行（项）：反映事业单位的基本支出，不包括行政单位（包括实行公务员管理的事业单位）后勤服务中心、医务室等附属事业单位。</w:t>
      </w:r>
    </w:p>
    <w:p>
      <w:pPr>
        <w:pStyle w:val="34"/>
        <w:spacing w:line="560" w:lineRule="exact"/>
        <w:ind w:firstLineChars="200" w:firstLine="640"/>
        <w:rPr>
          <w:rFonts w:ascii="仿宋_GB2312" w:eastAsia="仿宋_GB2312" w:hint="eastAsia"/>
          <w:color w:val="auto"/>
          <w:sz w:val="32"/>
          <w:szCs w:val="32"/>
          <w:lang w:val="en-US" w:eastAsia="zh-CN"/>
        </w:rPr>
      </w:pPr>
      <w:r>
        <w:rPr>
          <w:rFonts w:ascii="仿宋_GB2312" w:eastAsia="仿宋_GB2312" w:hint="eastAsia"/>
          <w:color w:val="auto"/>
          <w:sz w:val="32"/>
          <w:szCs w:val="32"/>
          <w:lang w:val="en-US" w:eastAsia="zh-CN"/>
        </w:rPr>
        <w:t>5.一般公共服务（类）群众团体事务（款）其他群众团体事务支出：反映除上述项目以外其他用于群众团体事务方面的支出。</w:t>
      </w:r>
    </w:p>
    <w:p>
      <w:pPr>
        <w:pStyle w:val="34"/>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lang w:val="en-US" w:eastAsia="zh-CN"/>
        </w:rPr>
        <w:t>6</w:t>
      </w:r>
      <w:r>
        <w:rPr>
          <w:rFonts w:ascii="仿宋_GB2312" w:eastAsia="仿宋_GB2312"/>
          <w:color w:val="auto"/>
          <w:sz w:val="32"/>
          <w:szCs w:val="32"/>
        </w:rPr>
        <w:t>.</w:t>
      </w:r>
      <w:r>
        <w:rPr>
          <w:rFonts w:ascii="仿宋_GB2312" w:eastAsia="仿宋_GB2312" w:hint="eastAsia"/>
          <w:color w:val="auto"/>
          <w:sz w:val="32"/>
          <w:szCs w:val="32"/>
        </w:rPr>
        <w:t>一般公共服务支出（类）宣传事务（款）其他宣传事务支出（项）：指反映其他用于中国共产党宣传部门的事务支出。</w:t>
      </w:r>
    </w:p>
    <w:p>
      <w:pPr>
        <w:pStyle w:val="34"/>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lang w:val="en-US" w:eastAsia="zh-CN"/>
        </w:rPr>
        <w:t>7</w:t>
      </w:r>
      <w:r>
        <w:rPr>
          <w:rFonts w:ascii="仿宋_GB2312" w:eastAsia="仿宋_GB2312"/>
          <w:color w:val="auto"/>
          <w:sz w:val="32"/>
          <w:szCs w:val="32"/>
        </w:rPr>
        <w:t>.</w:t>
      </w:r>
      <w:r>
        <w:rPr>
          <w:rFonts w:ascii="仿宋_GB2312" w:eastAsia="仿宋_GB2312" w:hint="eastAsia"/>
          <w:color w:val="auto"/>
          <w:sz w:val="32"/>
          <w:szCs w:val="32"/>
        </w:rPr>
        <w:t>社会保障和就业支出（类）行政事业单位养老支出（款）行政单位离退休（项）：反映行政单位（包括实行公务员管理的事业单位）开支的离退休经费。</w:t>
      </w:r>
    </w:p>
    <w:p>
      <w:pPr>
        <w:pStyle w:val="34"/>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lang w:val="en-US" w:eastAsia="zh-CN"/>
        </w:rPr>
        <w:t>8</w:t>
      </w:r>
      <w:r>
        <w:rPr>
          <w:rFonts w:ascii="仿宋_GB2312" w:eastAsia="仿宋_GB2312"/>
          <w:color w:val="auto"/>
          <w:sz w:val="32"/>
          <w:szCs w:val="32"/>
        </w:rPr>
        <w:t>.</w:t>
      </w:r>
      <w:r>
        <w:rPr>
          <w:rFonts w:ascii="仿宋_GB2312" w:eastAsia="仿宋_GB2312" w:hint="eastAsia"/>
          <w:color w:val="auto"/>
          <w:sz w:val="32"/>
          <w:szCs w:val="32"/>
        </w:rPr>
        <w:t>社会保障和就业支出（类）行政事业单位养老支出（款）事业单位离退休（项）</w:t>
      </w:r>
      <w:r>
        <w:rPr>
          <w:rFonts w:ascii="仿宋_GB2312" w:eastAsia="仿宋_GB2312" w:hint="eastAsia"/>
          <w:color w:val="auto"/>
          <w:sz w:val="32"/>
          <w:szCs w:val="32"/>
          <w:lang w:eastAsia="zh-CN"/>
        </w:rPr>
        <w:t>：</w:t>
      </w:r>
      <w:r>
        <w:rPr>
          <w:rFonts w:ascii="仿宋_GB2312" w:eastAsia="仿宋_GB2312" w:hint="eastAsia"/>
          <w:color w:val="auto"/>
          <w:sz w:val="32"/>
          <w:szCs w:val="32"/>
        </w:rPr>
        <w:t>反映</w:t>
      </w:r>
      <w:r>
        <w:rPr>
          <w:rFonts w:ascii="仿宋_GB2312" w:eastAsia="仿宋_GB2312" w:hint="eastAsia"/>
          <w:color w:val="auto"/>
          <w:sz w:val="32"/>
          <w:szCs w:val="32"/>
          <w:lang w:eastAsia="zh-CN"/>
        </w:rPr>
        <w:t>事业</w:t>
      </w:r>
      <w:r>
        <w:rPr>
          <w:rFonts w:ascii="仿宋_GB2312" w:eastAsia="仿宋_GB2312" w:hint="eastAsia"/>
          <w:color w:val="auto"/>
          <w:sz w:val="32"/>
          <w:szCs w:val="32"/>
        </w:rPr>
        <w:t>单位开支的离退休经费。</w:t>
      </w:r>
    </w:p>
    <w:p>
      <w:pPr>
        <w:pStyle w:val="34"/>
        <w:spacing w:line="560" w:lineRule="exact"/>
        <w:ind w:firstLineChars="200" w:firstLine="640"/>
        <w:rPr>
          <w:rFonts w:ascii="仿宋_GB2312" w:eastAsia="仿宋_GB2312" w:hint="eastAsia"/>
          <w:color w:val="auto"/>
          <w:sz w:val="32"/>
          <w:szCs w:val="32"/>
        </w:rPr>
      </w:pPr>
      <w:r>
        <w:rPr>
          <w:rFonts w:ascii="仿宋_GB2312" w:eastAsia="仿宋_GB2312"/>
          <w:color w:val="auto"/>
          <w:sz w:val="32"/>
          <w:szCs w:val="32"/>
        </w:rPr>
        <w:t>9.</w:t>
      </w:r>
      <w:r>
        <w:rPr>
          <w:rFonts w:ascii="仿宋_GB2312" w:eastAsia="仿宋_GB2312" w:hint="eastAsia"/>
          <w:color w:val="auto"/>
          <w:sz w:val="32"/>
          <w:szCs w:val="32"/>
        </w:rPr>
        <w:t>社会保障和就业支出（类）行政事业单位养老支出（款）机关事业单位基本养老保险缴费支出（项）：反映机关事业单位实施养老保险制度由单位缴纳的养老保险缴费支出。</w:t>
      </w:r>
    </w:p>
    <w:p>
      <w:pPr>
        <w:pStyle w:val="34"/>
        <w:spacing w:line="560" w:lineRule="exact"/>
        <w:ind w:firstLineChars="200" w:firstLine="640"/>
        <w:rPr>
          <w:rFonts w:ascii="仿宋_GB2312" w:eastAsia="仿宋_GB2312" w:hint="eastAsia"/>
          <w:color w:val="auto"/>
          <w:sz w:val="32"/>
          <w:szCs w:val="32"/>
          <w:lang w:val="en-US" w:eastAsia="zh-CN"/>
        </w:rPr>
      </w:pPr>
      <w:r>
        <w:rPr>
          <w:rFonts w:ascii="仿宋_GB2312" w:eastAsia="仿宋_GB2312" w:hint="eastAsia"/>
          <w:color w:val="auto"/>
          <w:sz w:val="32"/>
          <w:szCs w:val="32"/>
          <w:lang w:val="en-US" w:eastAsia="zh-CN"/>
        </w:rPr>
        <w:t>10.</w:t>
      </w:r>
      <w:r>
        <w:rPr>
          <w:rFonts w:ascii="仿宋_GB2312" w:eastAsia="仿宋_GB2312" w:hint="eastAsia"/>
          <w:color w:val="auto"/>
          <w:sz w:val="32"/>
          <w:szCs w:val="32"/>
        </w:rPr>
        <w:t>社会保障和就业支出（类）</w:t>
      </w:r>
      <w:r>
        <w:rPr>
          <w:rFonts w:ascii="仿宋_GB2312" w:eastAsia="仿宋_GB2312" w:hint="eastAsia"/>
          <w:color w:val="auto"/>
          <w:sz w:val="32"/>
          <w:szCs w:val="32"/>
          <w:lang w:eastAsia="zh-CN"/>
        </w:rPr>
        <w:t>抚恤</w:t>
      </w:r>
      <w:r>
        <w:rPr>
          <w:rFonts w:ascii="仿宋_GB2312" w:eastAsia="仿宋_GB2312" w:hint="eastAsia"/>
          <w:color w:val="auto"/>
          <w:sz w:val="32"/>
          <w:szCs w:val="32"/>
        </w:rPr>
        <w:t>（款）</w:t>
      </w:r>
      <w:r>
        <w:rPr>
          <w:rFonts w:ascii="仿宋_GB2312" w:eastAsia="仿宋_GB2312" w:hint="eastAsia"/>
          <w:color w:val="auto"/>
          <w:sz w:val="32"/>
          <w:szCs w:val="32"/>
          <w:lang w:eastAsia="zh-CN"/>
        </w:rPr>
        <w:t>死亡抚恤</w:t>
      </w:r>
      <w:r>
        <w:rPr>
          <w:rFonts w:ascii="仿宋_GB2312" w:eastAsia="仿宋_GB2312" w:hint="eastAsia"/>
          <w:color w:val="auto"/>
          <w:sz w:val="32"/>
          <w:szCs w:val="32"/>
        </w:rPr>
        <w:t>（项）：</w:t>
      </w:r>
      <w:r>
        <w:rPr>
          <w:rFonts w:ascii="仿宋_GB2312" w:eastAsia="仿宋_GB2312" w:hint="eastAsia"/>
          <w:color w:val="auto"/>
          <w:sz w:val="32"/>
          <w:szCs w:val="32"/>
          <w:lang w:eastAsia="zh-CN"/>
        </w:rPr>
        <w:t>指规定用于烈士和牺牲、病故人员家属的一次性和定期抚恤金、丧葬补助费以及烈士褒扬金。</w:t>
      </w:r>
    </w:p>
    <w:p>
      <w:pPr>
        <w:pStyle w:val="34"/>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lang w:val="en-US" w:eastAsia="zh-CN"/>
        </w:rPr>
        <w:t>11</w:t>
      </w:r>
      <w:r>
        <w:rPr>
          <w:rFonts w:ascii="仿宋_GB2312" w:eastAsia="仿宋_GB2312"/>
          <w:color w:val="auto"/>
          <w:sz w:val="32"/>
          <w:szCs w:val="32"/>
        </w:rPr>
        <w:t>.</w:t>
      </w:r>
      <w:r>
        <w:rPr>
          <w:rFonts w:ascii="仿宋_GB2312" w:eastAsia="仿宋_GB2312" w:hint="eastAsia"/>
          <w:color w:val="auto"/>
          <w:sz w:val="32"/>
          <w:szCs w:val="32"/>
        </w:rPr>
        <w:t>住房保障支出（类）住房改革支出（款） 住房公积金（项）：反映行政事业单位按人力资源和社会保障部、财政部规定的基本工资和津贴补贴以及规定比例为职工缴纳的住房公积金。</w:t>
      </w:r>
    </w:p>
    <w:p>
      <w:pPr>
        <w:pStyle w:val="34"/>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lang w:val="en-US" w:eastAsia="zh-CN"/>
        </w:rPr>
        <w:t>12</w:t>
      </w:r>
      <w:r>
        <w:rPr>
          <w:rFonts w:ascii="仿宋_GB2312" w:eastAsia="仿宋_GB2312"/>
          <w:color w:val="auto"/>
          <w:sz w:val="32"/>
          <w:szCs w:val="32"/>
        </w:rPr>
        <w:t>.</w:t>
      </w:r>
      <w:r>
        <w:rPr>
          <w:rFonts w:ascii="仿宋_GB2312" w:eastAsia="仿宋_GB2312" w:hint="eastAsia"/>
          <w:color w:val="auto"/>
          <w:sz w:val="32"/>
          <w:szCs w:val="32"/>
        </w:rPr>
        <w:t>基本支出：指为保障机构正常运转、完成日常工作任务而发生的人员支出和公用支出。</w:t>
      </w:r>
    </w:p>
    <w:p>
      <w:pPr>
        <w:pStyle w:val="34"/>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lang w:val="en-US" w:eastAsia="zh-CN"/>
        </w:rPr>
        <w:t>13</w:t>
      </w:r>
      <w:r>
        <w:rPr>
          <w:rFonts w:ascii="仿宋_GB2312" w:eastAsia="仿宋_GB2312"/>
          <w:color w:val="auto"/>
          <w:sz w:val="32"/>
          <w:szCs w:val="32"/>
        </w:rPr>
        <w:t>.</w:t>
      </w:r>
      <w:r>
        <w:rPr>
          <w:rFonts w:ascii="仿宋_GB2312" w:eastAsia="仿宋_GB2312" w:hint="eastAsia"/>
          <w:color w:val="auto"/>
          <w:sz w:val="32"/>
          <w:szCs w:val="32"/>
        </w:rPr>
        <w:t xml:space="preserve">项目支出：指在基本支出之外为完成特定行政任务和事业发展目标所发生的支出。 </w:t>
      </w:r>
    </w:p>
    <w:p>
      <w:pPr>
        <w:pStyle w:val="34"/>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lang w:val="en-US" w:eastAsia="zh-CN"/>
        </w:rPr>
        <w:t>1</w:t>
      </w:r>
      <w:r>
        <w:rPr>
          <w:rFonts w:ascii="仿宋_GB2312" w:eastAsia="仿宋_GB2312"/>
          <w:color w:val="auto"/>
          <w:sz w:val="32"/>
          <w:szCs w:val="32"/>
        </w:rPr>
        <w:t>4.“</w:t>
      </w:r>
      <w:r>
        <w:rPr>
          <w:rFonts w:ascii="仿宋_GB2312" w:eastAsia="仿宋_GB2312" w:hint="eastAsia"/>
          <w:color w:val="auto"/>
          <w:sz w:val="32"/>
          <w:szCs w:val="32"/>
        </w:rPr>
        <w:t>三公</w:t>
      </w:r>
      <w:r>
        <w:rPr>
          <w:rFonts w:ascii="仿宋_GB2312" w:eastAsia="仿宋_GB2312"/>
          <w:color w:val="auto"/>
          <w:sz w:val="32"/>
          <w:szCs w:val="32"/>
        </w:rPr>
        <w:t>”</w:t>
      </w:r>
      <w:r>
        <w:rPr>
          <w:rFonts w:ascii="仿宋_GB2312" w:eastAsia="仿宋_GB2312" w:hint="eastAsia"/>
          <w:color w:val="auto"/>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4"/>
        <w:spacing w:line="560" w:lineRule="exact"/>
        <w:ind w:firstLineChars="200" w:firstLine="640"/>
        <w:rPr>
          <w:rFonts w:ascii="宋体" w:hAnsi="宋体"/>
          <w:b/>
          <w:sz w:val="44"/>
          <w:szCs w:val="44"/>
        </w:rPr>
      </w:pPr>
      <w:r>
        <w:rPr>
          <w:rFonts w:ascii="仿宋_GB2312" w:eastAsia="仿宋_GB2312" w:hint="eastAsia"/>
          <w:color w:val="auto"/>
          <w:sz w:val="32"/>
          <w:szCs w:val="32"/>
          <w:lang w:val="en-US" w:eastAsia="zh-CN"/>
        </w:rPr>
        <w:t>1</w:t>
      </w:r>
      <w:r>
        <w:rPr>
          <w:rFonts w:ascii="仿宋_GB2312" w:eastAsia="仿宋_GB2312"/>
          <w:color w:val="auto"/>
          <w:sz w:val="32"/>
          <w:szCs w:val="32"/>
        </w:rPr>
        <w:t>5.</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79" w:name="_Toc15377226"/>
      <w:r>
        <w:rPr>
          <w:rFonts w:ascii="宋体" w:hAnsi="宋体"/>
          <w:b/>
          <w:sz w:val="44"/>
          <w:szCs w:val="44"/>
        </w:rPr>
        <w:br w:type="page"/>
      </w:r>
      <w:bookmarkStart w:id="80" w:name="_Toc15396614"/>
    </w:p>
    <w:p>
      <w:pPr>
        <w:pStyle w:val="34"/>
        <w:kinsoku/>
        <w:wordWrap/>
        <w:overflowPunct/>
        <w:topLinePunct w:val="0"/>
        <w:autoSpaceDE w:val="0"/>
        <w:autoSpaceDN/>
        <w:spacing w:line="560" w:lineRule="exact"/>
        <w:ind w:firstLineChars="200" w:firstLine="880"/>
        <w:jc w:val="center"/>
        <w:outlineLvl w:val="0"/>
        <w:rPr>
          <w:rStyle w:val="1Char"/>
          <w:rFonts w:ascii="黑体" w:eastAsia="黑体" w:hAnsi="黑体"/>
          <w:b w:val="0"/>
        </w:rPr>
      </w:pPr>
      <w:bookmarkStart w:id="81" w:name="_Toc12364"/>
      <w:bookmarkStart w:id="82" w:name="_Toc7625"/>
      <w:r>
        <w:rPr>
          <w:rFonts w:ascii="黑体" w:eastAsia="黑体" w:hAnsi="黑体" w:hint="eastAsia"/>
          <w:sz w:val="44"/>
          <w:szCs w:val="44"/>
        </w:rPr>
        <w:t>第</w:t>
      </w:r>
      <w:r>
        <w:rPr>
          <w:rStyle w:val="1Char"/>
          <w:rFonts w:ascii="黑体" w:eastAsia="黑体" w:hAnsi="黑体" w:hint="eastAsia"/>
          <w:b w:val="0"/>
        </w:rPr>
        <w:t>四部分 附件</w:t>
      </w:r>
      <w:bookmarkEnd w:id="80"/>
      <w:bookmarkEnd w:id="81"/>
      <w:bookmarkEnd w:id="82"/>
    </w:p>
    <w:p>
      <w:pPr>
        <w:spacing w:line="572" w:lineRule="exact"/>
        <w:jc w:val="left"/>
        <w:outlineLvl w:val="0"/>
        <w:rPr>
          <w:rFonts w:ascii="方正小标宋简体" w:eastAsia="方正小标宋简体" w:cs="方正小标宋简体" w:hAnsi="方正小标宋简体"/>
          <w:sz w:val="44"/>
          <w:szCs w:val="44"/>
        </w:rPr>
      </w:pPr>
      <w:bookmarkStart w:id="83" w:name="_Toc20086"/>
      <w:bookmarkStart w:id="84" w:name="_Toc26398"/>
      <w:r>
        <w:rPr>
          <w:rFonts w:ascii="黑体" w:eastAsia="黑体" w:cs="黑体" w:hAnsi="黑体" w:hint="eastAsia"/>
          <w:sz w:val="32"/>
          <w:szCs w:val="32"/>
        </w:rPr>
        <w:t>附件</w:t>
      </w:r>
      <w:bookmarkEnd w:id="83"/>
      <w:bookmarkEnd w:id="84"/>
    </w:p>
    <w:p>
      <w:pPr>
        <w:widowControl/>
        <w:spacing w:line="560" w:lineRule="exact"/>
        <w:contextualSpacing/>
        <w:jc w:val="center"/>
        <w:rPr>
          <w:rFonts w:ascii="宋体" w:hAnsi="宋体" w:hint="eastAsia"/>
          <w:b/>
          <w:sz w:val="32"/>
          <w:szCs w:val="32"/>
          <w:shd w:val="clear" w:color="auto" w:fill="FFFFFF"/>
          <w:lang w:eastAsia="zh-CN"/>
        </w:rPr>
      </w:pPr>
      <w:r>
        <w:rPr>
          <w:rFonts w:ascii="宋体" w:hAnsi="宋体" w:hint="eastAsia"/>
          <w:b/>
          <w:sz w:val="32"/>
          <w:szCs w:val="32"/>
          <w:shd w:val="clear" w:color="auto" w:fill="FFFFFF"/>
        </w:rPr>
        <w:t>2023年</w:t>
      </w:r>
      <w:r>
        <w:rPr>
          <w:rFonts w:ascii="宋体" w:hAnsi="宋体" w:hint="eastAsia"/>
          <w:b/>
          <w:sz w:val="32"/>
          <w:szCs w:val="32"/>
          <w:shd w:val="clear" w:color="auto" w:fill="FFFFFF"/>
          <w:lang w:eastAsia="zh-CN"/>
        </w:rPr>
        <w:t>攀枝花市文学艺术界联合会</w:t>
      </w:r>
    </w:p>
    <w:p>
      <w:pPr>
        <w:widowControl/>
        <w:spacing w:line="560" w:lineRule="exact"/>
        <w:contextualSpacing/>
        <w:jc w:val="center"/>
        <w:rPr>
          <w:rFonts w:ascii="宋体" w:hAnsi="宋体"/>
          <w:b/>
          <w:sz w:val="32"/>
          <w:szCs w:val="32"/>
          <w:shd w:val="clear" w:color="auto" w:fill="FFFFFF"/>
        </w:rPr>
      </w:pPr>
      <w:r>
        <w:rPr>
          <w:rFonts w:ascii="宋体" w:hAnsi="宋体" w:hint="eastAsia"/>
          <w:b/>
          <w:sz w:val="32"/>
          <w:szCs w:val="32"/>
          <w:shd w:val="clear" w:color="auto" w:fill="FFFFFF"/>
        </w:rPr>
        <w:t>部门整体绩效评价报告</w:t>
      </w:r>
    </w:p>
    <w:p>
      <w:pPr>
        <w:widowControl/>
        <w:numPr>
          <w:ilvl w:val="0"/>
          <w:numId w:val="5"/>
        </w:numPr>
        <w:adjustRightInd w:val="0"/>
        <w:snapToGrid w:val="0"/>
        <w:spacing w:line="560" w:lineRule="exact"/>
        <w:ind w:left="0" w:firstLineChars="200" w:firstLine="640"/>
        <w:contextualSpacing/>
        <w:jc w:val="left"/>
        <w:rPr>
          <w:rFonts w:ascii="黑体" w:eastAsia="黑体" w:cs="宋体" w:hAnsi="宋体" w:hint="eastAsia"/>
          <w:kern w:val="0"/>
          <w:sz w:val="32"/>
          <w:szCs w:val="32"/>
          <w:shd w:val="clear" w:color="auto" w:fill="FFFFFF"/>
          <w:lang w:val="zh-CN"/>
        </w:rPr>
      </w:pPr>
      <w:r>
        <w:rPr>
          <w:rFonts w:ascii="黑体" w:eastAsia="黑体" w:cs="宋体" w:hAnsi="宋体" w:hint="eastAsia"/>
          <w:kern w:val="0"/>
          <w:sz w:val="32"/>
          <w:szCs w:val="32"/>
          <w:shd w:val="clear" w:color="auto" w:fill="FFFFFF"/>
          <w:lang w:val="zh-CN"/>
        </w:rPr>
        <w:t>部门（单位）基本情况</w:t>
      </w:r>
    </w:p>
    <w:p>
      <w:pPr>
        <w:widowControl/>
        <w:adjustRightInd w:val="0"/>
        <w:snapToGrid w:val="0"/>
        <w:spacing w:line="560" w:lineRule="exact"/>
        <w:ind w:firstLineChars="200" w:firstLine="640"/>
        <w:contextualSpacing/>
        <w:jc w:val="left"/>
        <w:rPr>
          <w:rFonts w:ascii="楷体_GB2312" w:eastAsia="楷体_GB2312" w:cs="楷体_GB2312" w:hAnsi="楷体_GB2312" w:hint="eastAsia"/>
          <w:b/>
          <w:bCs/>
          <w:kern w:val="0"/>
          <w:sz w:val="32"/>
          <w:szCs w:val="32"/>
          <w:shd w:val="clear" w:color="auto" w:fill="FFFFFF"/>
          <w:lang w:val="zh-CN"/>
        </w:rPr>
      </w:pPr>
      <w:r>
        <w:rPr>
          <w:rFonts w:ascii="楷体_GB2312" w:eastAsia="楷体_GB2312" w:cs="楷体_GB2312" w:hAnsi="楷体_GB2312" w:hint="eastAsia"/>
          <w:b/>
          <w:bCs/>
          <w:kern w:val="0"/>
          <w:sz w:val="32"/>
          <w:szCs w:val="32"/>
          <w:shd w:val="clear" w:color="auto" w:fill="FFFFFF"/>
          <w:lang w:val="en-US" w:eastAsia="zh-CN"/>
        </w:rPr>
        <w:t>(一）</w:t>
      </w:r>
      <w:r>
        <w:rPr>
          <w:rFonts w:ascii="楷体_GB2312" w:eastAsia="楷体_GB2312" w:cs="楷体_GB2312" w:hAnsi="楷体_GB2312" w:hint="eastAsia"/>
          <w:b/>
          <w:bCs/>
          <w:kern w:val="0"/>
          <w:sz w:val="32"/>
          <w:szCs w:val="32"/>
          <w:shd w:val="clear" w:color="auto" w:fill="FFFFFF"/>
          <w:lang w:val="zh-CN"/>
        </w:rPr>
        <w:t>机构组成。</w:t>
      </w:r>
    </w:p>
    <w:p>
      <w:pPr>
        <w:pStyle w:val="24"/>
        <w:tabs>
          <w:tab w:val="right" w:leader="dot" w:pos="8296"/>
        </w:tabs>
        <w:ind w:leftChars="0" w:left="0" w:firstLineChars="200" w:firstLine="640"/>
        <w:rPr>
          <w:rFonts w:ascii="仿宋_GB2312" w:eastAsia="仿宋_GB2312" w:cs="仿宋_GB2312" w:hAnsi="仿宋_GB2312"/>
          <w:kern w:val="0"/>
          <w:sz w:val="32"/>
          <w:szCs w:val="32"/>
          <w:shd w:val="clear" w:color="auto" w:fill="FFFFFF"/>
          <w:lang w:val="en-US" w:eastAsia="zh-CN" w:bidi="ar-SA"/>
        </w:rPr>
      </w:pPr>
      <w:r>
        <w:rPr>
          <w:rFonts w:ascii="仿宋_GB2312" w:eastAsia="仿宋_GB2312" w:cs="仿宋_GB2312" w:hAnsi="仿宋_GB2312" w:hint="eastAsia"/>
          <w:kern w:val="0"/>
          <w:sz w:val="32"/>
          <w:szCs w:val="32"/>
          <w:shd w:val="clear" w:color="auto" w:fill="FFFFFF"/>
          <w:lang w:val="en-US" w:eastAsia="zh-CN" w:bidi="ar-SA"/>
        </w:rPr>
        <w:t>攀枝花市文联机关内设</w:t>
      </w:r>
      <w:r>
        <w:rPr>
          <w:rFonts w:ascii="仿宋_GB2312" w:eastAsia="仿宋_GB2312" w:cs="仿宋_GB2312" w:hAnsi="仿宋_GB2312"/>
          <w:kern w:val="0"/>
          <w:sz w:val="32"/>
          <w:szCs w:val="32"/>
          <w:shd w:val="clear" w:color="auto" w:fill="FFFFFF"/>
          <w:lang w:val="en-US" w:eastAsia="zh-CN" w:bidi="ar-SA"/>
        </w:rPr>
        <w:t>2</w:t>
      </w:r>
      <w:r>
        <w:rPr>
          <w:rFonts w:ascii="仿宋_GB2312" w:eastAsia="仿宋_GB2312" w:cs="仿宋_GB2312" w:hAnsi="仿宋_GB2312" w:hint="eastAsia"/>
          <w:kern w:val="0"/>
          <w:sz w:val="32"/>
          <w:szCs w:val="32"/>
          <w:shd w:val="clear" w:color="auto" w:fill="FFFFFF"/>
          <w:lang w:val="en-US" w:eastAsia="zh-CN" w:bidi="ar-SA"/>
        </w:rPr>
        <w:t>个正科级科室，分别是办公室、组织联络科。下属两个正科级公益性一类全额拨款事业单位，分别是攀枝花文学院（《攀枝花文学》杂志社）、攀枝花市书画院（攀枝花市城市雕塑创作室），非独立预算单位。市文联有文艺类协会共计</w:t>
      </w:r>
      <w:r>
        <w:rPr>
          <w:rFonts w:ascii="仿宋_GB2312" w:eastAsia="仿宋_GB2312" w:cs="仿宋_GB2312" w:hAnsi="仿宋_GB2312"/>
          <w:kern w:val="0"/>
          <w:sz w:val="32"/>
          <w:szCs w:val="32"/>
          <w:shd w:val="clear" w:color="auto" w:fill="FFFFFF"/>
          <w:lang w:val="en-US" w:eastAsia="zh-CN" w:bidi="ar-SA"/>
        </w:rPr>
        <w:t>16</w:t>
      </w:r>
      <w:r>
        <w:rPr>
          <w:rFonts w:ascii="仿宋_GB2312" w:eastAsia="仿宋_GB2312" w:cs="仿宋_GB2312" w:hAnsi="仿宋_GB2312" w:hint="eastAsia"/>
          <w:kern w:val="0"/>
          <w:sz w:val="32"/>
          <w:szCs w:val="32"/>
          <w:shd w:val="clear" w:color="auto" w:fill="FFFFFF"/>
          <w:lang w:val="en-US" w:eastAsia="zh-CN" w:bidi="ar-SA"/>
        </w:rPr>
        <w:t>个，包括：市作家协会、市文艺评论家协会、市美术家协会、市书法家协会、市摄影家协会、市音乐家协会、市舞蹈家协会、市民间文艺家协会、市中华诗词学会、市微电影协会、市影视家协会、市动漫网络文化协会、市曲艺家协会、市戏剧家协会、市文艺志愿者协会、市硬笔书法家协会。指导5个县（区）文联、</w:t>
      </w:r>
      <w:r>
        <w:rPr>
          <w:rFonts w:ascii="仿宋_GB2312" w:eastAsia="仿宋_GB2312" w:cs="仿宋_GB2312" w:hAnsi="仿宋_GB2312"/>
          <w:kern w:val="0"/>
          <w:sz w:val="32"/>
          <w:szCs w:val="32"/>
          <w:shd w:val="clear" w:color="auto" w:fill="FFFFFF"/>
          <w:lang w:val="en-US" w:eastAsia="zh-CN" w:bidi="ar-SA"/>
        </w:rPr>
        <w:t>2</w:t>
      </w:r>
      <w:r>
        <w:rPr>
          <w:rFonts w:ascii="仿宋_GB2312" w:eastAsia="仿宋_GB2312" w:cs="仿宋_GB2312" w:hAnsi="仿宋_GB2312" w:hint="eastAsia"/>
          <w:kern w:val="0"/>
          <w:sz w:val="32"/>
          <w:szCs w:val="32"/>
          <w:shd w:val="clear" w:color="auto" w:fill="FFFFFF"/>
          <w:lang w:val="en-US" w:eastAsia="zh-CN" w:bidi="ar-SA"/>
        </w:rPr>
        <w:t>个企业文联及</w:t>
      </w:r>
      <w:r>
        <w:rPr>
          <w:rFonts w:ascii="仿宋_GB2312" w:eastAsia="仿宋_GB2312" w:cs="仿宋_GB2312" w:hAnsi="仿宋_GB2312"/>
          <w:kern w:val="0"/>
          <w:sz w:val="32"/>
          <w:szCs w:val="32"/>
          <w:shd w:val="clear" w:color="auto" w:fill="FFFFFF"/>
          <w:lang w:val="en-US" w:eastAsia="zh-CN" w:bidi="ar-SA"/>
        </w:rPr>
        <w:t>1</w:t>
      </w:r>
      <w:r>
        <w:rPr>
          <w:rFonts w:ascii="仿宋_GB2312" w:eastAsia="仿宋_GB2312" w:cs="仿宋_GB2312" w:hAnsi="仿宋_GB2312" w:hint="eastAsia"/>
          <w:kern w:val="0"/>
          <w:sz w:val="32"/>
          <w:szCs w:val="32"/>
          <w:shd w:val="clear" w:color="auto" w:fill="FFFFFF"/>
          <w:lang w:val="en-US" w:eastAsia="zh-CN" w:bidi="ar-SA"/>
        </w:rPr>
        <w:t>个行业文联。</w:t>
      </w:r>
    </w:p>
    <w:p>
      <w:pPr>
        <w:widowControl/>
        <w:adjustRightInd w:val="0"/>
        <w:snapToGrid w:val="0"/>
        <w:spacing w:line="560" w:lineRule="exact"/>
        <w:ind w:firstLineChars="200" w:firstLine="640"/>
        <w:contextualSpacing/>
        <w:jc w:val="left"/>
        <w:rPr>
          <w:rFonts w:ascii="楷体_GB2312" w:eastAsia="楷体_GB2312" w:cs="楷体_GB2312" w:hAnsi="楷体_GB2312" w:hint="eastAsia"/>
          <w:b/>
          <w:bCs/>
          <w:kern w:val="0"/>
          <w:sz w:val="32"/>
          <w:szCs w:val="32"/>
          <w:shd w:val="clear" w:color="auto" w:fill="FFFFFF"/>
          <w:lang w:val="zh-CN"/>
        </w:rPr>
      </w:pPr>
      <w:r>
        <w:rPr>
          <w:rFonts w:ascii="楷体_GB2312" w:eastAsia="楷体_GB2312" w:cs="楷体_GB2312" w:hAnsi="楷体_GB2312" w:hint="eastAsia"/>
          <w:b/>
          <w:bCs/>
          <w:kern w:val="0"/>
          <w:sz w:val="32"/>
          <w:szCs w:val="32"/>
          <w:shd w:val="clear" w:color="auto" w:fill="FFFFFF"/>
          <w:lang w:val="zh-CN"/>
        </w:rPr>
        <w:t>（二）机构职能和人员概况。</w:t>
      </w:r>
    </w:p>
    <w:p>
      <w:pPr>
        <w:pStyle w:val="24"/>
        <w:tabs>
          <w:tab w:val="right" w:leader="dot" w:pos="8296"/>
        </w:tabs>
        <w:ind w:leftChars="0" w:left="0" w:firstLineChars="200" w:firstLine="640"/>
        <w:rPr>
          <w:rFonts w:ascii="仿宋_GB2312" w:eastAsia="仿宋_GB2312" w:cs="仿宋_GB2312" w:hAnsi="仿宋_GB2312" w:hint="eastAsia"/>
          <w:kern w:val="0"/>
          <w:sz w:val="32"/>
          <w:szCs w:val="32"/>
          <w:shd w:val="clear" w:color="auto" w:fill="FFFFFF"/>
          <w:lang w:val="en-US" w:eastAsia="zh-CN" w:bidi="ar-SA"/>
        </w:rPr>
      </w:pPr>
      <w:r>
        <w:rPr>
          <w:rFonts w:ascii="仿宋_GB2312" w:eastAsia="仿宋_GB2312" w:cs="仿宋_GB2312" w:hAnsi="仿宋_GB2312" w:hint="eastAsia"/>
          <w:kern w:val="0"/>
          <w:sz w:val="32"/>
          <w:szCs w:val="32"/>
          <w:shd w:val="clear" w:color="auto" w:fill="FFFFFF"/>
          <w:lang w:val="en-US" w:eastAsia="zh-CN" w:bidi="ar-SA"/>
        </w:rPr>
        <w:t>市文联是中共攀枝花市委领导的，由全市性的文艺家协会、县（区）文学艺术界联合会和全市性产（行）业文学艺术工作者联合会（协会、学会）组成的人民团体，是党和政府联系文艺工作者的桥梁和纽带，是繁荣发展社会主义文艺事业的重要力量。受市委委托，由市委宣传部代管。主要职能包括：</w:t>
      </w:r>
    </w:p>
    <w:p>
      <w:pPr>
        <w:pStyle w:val="24"/>
        <w:tabs>
          <w:tab w:val="right" w:leader="dot" w:pos="8296"/>
        </w:tabs>
        <w:ind w:leftChars="0" w:left="0" w:firstLineChars="200" w:firstLine="640"/>
        <w:rPr>
          <w:rFonts w:ascii="仿宋_GB2312" w:eastAsia="仿宋_GB2312" w:cs="仿宋_GB2312" w:hAnsi="仿宋_GB2312" w:hint="eastAsia"/>
          <w:kern w:val="0"/>
          <w:sz w:val="32"/>
          <w:szCs w:val="32"/>
          <w:shd w:val="clear" w:color="auto" w:fill="FFFFFF"/>
          <w:lang w:val="en-US" w:eastAsia="zh-CN" w:bidi="ar-SA"/>
        </w:rPr>
      </w:pPr>
      <w:r>
        <w:rPr>
          <w:rFonts w:ascii="仿宋_GB2312" w:eastAsia="仿宋_GB2312" w:cs="仿宋_GB2312" w:hAnsi="仿宋_GB2312" w:hint="eastAsia"/>
          <w:kern w:val="0"/>
          <w:sz w:val="32"/>
          <w:szCs w:val="32"/>
          <w:shd w:val="clear" w:color="auto" w:fill="FFFFFF"/>
          <w:lang w:val="en-US" w:eastAsia="zh-CN" w:bidi="ar-SA"/>
        </w:rPr>
        <w:t>1.贯彻落实党对文艺工作的方针政策和决策部署，保持和增强政治性、先进性、群众性，强化思想政治引领，对各团体会员、文艺工作者及新文艺组织、新文艺群体开展团结引领、联络协调、服务管理、自律维权工作。团结广大文艺工作者，听取文艺界的意见，反映文艺界的情况，引导广大文艺工作者听党话跟党走。</w:t>
      </w:r>
    </w:p>
    <w:p>
      <w:pPr>
        <w:pStyle w:val="24"/>
        <w:tabs>
          <w:tab w:val="right" w:leader="dot" w:pos="8296"/>
        </w:tabs>
        <w:ind w:leftChars="0" w:left="0" w:firstLineChars="200" w:firstLine="640"/>
        <w:rPr>
          <w:rFonts w:ascii="仿宋_GB2312" w:eastAsia="仿宋_GB2312" w:cs="仿宋_GB2312" w:hAnsi="仿宋_GB2312" w:hint="eastAsia"/>
          <w:kern w:val="0"/>
          <w:sz w:val="32"/>
          <w:szCs w:val="32"/>
          <w:shd w:val="clear" w:color="auto" w:fill="FFFFFF"/>
          <w:lang w:val="en-US" w:eastAsia="zh-CN" w:bidi="ar-SA"/>
        </w:rPr>
      </w:pPr>
      <w:r>
        <w:rPr>
          <w:rFonts w:ascii="仿宋_GB2312" w:eastAsia="仿宋_GB2312" w:cs="仿宋_GB2312" w:hAnsi="仿宋_GB2312" w:hint="eastAsia"/>
          <w:kern w:val="0"/>
          <w:sz w:val="32"/>
          <w:szCs w:val="32"/>
          <w:shd w:val="clear" w:color="auto" w:fill="FFFFFF"/>
          <w:lang w:val="en-US" w:eastAsia="zh-CN" w:bidi="ar-SA"/>
        </w:rPr>
        <w:t>2.组织召开市文联全市代表大会、全市委员会、主席团会议，市级文艺家协会全市代表大会以及市文联系统工作会议。</w:t>
      </w:r>
    </w:p>
    <w:p>
      <w:pPr>
        <w:pStyle w:val="24"/>
        <w:tabs>
          <w:tab w:val="right" w:leader="dot" w:pos="8296"/>
        </w:tabs>
        <w:ind w:leftChars="0" w:left="0" w:firstLineChars="200" w:firstLine="640"/>
        <w:rPr>
          <w:rFonts w:ascii="仿宋_GB2312" w:eastAsia="仿宋_GB2312" w:cs="仿宋_GB2312" w:hAnsi="仿宋_GB2312" w:hint="eastAsia"/>
          <w:kern w:val="0"/>
          <w:sz w:val="32"/>
          <w:szCs w:val="32"/>
          <w:shd w:val="clear" w:color="auto" w:fill="FFFFFF"/>
          <w:lang w:val="en-US" w:eastAsia="zh-CN" w:bidi="ar-SA"/>
        </w:rPr>
      </w:pPr>
      <w:r>
        <w:rPr>
          <w:rFonts w:ascii="仿宋_GB2312" w:eastAsia="仿宋_GB2312" w:cs="仿宋_GB2312" w:hAnsi="仿宋_GB2312" w:hint="eastAsia"/>
          <w:kern w:val="0"/>
          <w:sz w:val="32"/>
          <w:szCs w:val="32"/>
          <w:shd w:val="clear" w:color="auto" w:fill="FFFFFF"/>
          <w:lang w:val="en-US" w:eastAsia="zh-CN" w:bidi="ar-SA"/>
        </w:rPr>
        <w:t>3.组织开展文艺创作、主题文艺活动、文艺志愿服务、展演展示展播等文艺实践活动。组织开展文艺人才教育培训、培养举荐、创作扶贫等工作。引导网络文艺创作生产，促进传统文艺和网络文艺融合发展，指导协调文艺工作者联系服务平台建设。</w:t>
      </w:r>
    </w:p>
    <w:p>
      <w:pPr>
        <w:pStyle w:val="24"/>
        <w:tabs>
          <w:tab w:val="right" w:leader="dot" w:pos="8296"/>
        </w:tabs>
        <w:ind w:leftChars="0" w:left="0" w:firstLineChars="200" w:firstLine="640"/>
        <w:rPr>
          <w:rFonts w:ascii="仿宋_GB2312" w:eastAsia="仿宋_GB2312" w:cs="仿宋_GB2312" w:hAnsi="仿宋_GB2312" w:hint="eastAsia"/>
          <w:kern w:val="0"/>
          <w:sz w:val="32"/>
          <w:szCs w:val="32"/>
          <w:shd w:val="clear" w:color="auto" w:fill="FFFFFF"/>
          <w:lang w:val="en-US" w:eastAsia="zh-CN" w:bidi="ar-SA"/>
        </w:rPr>
      </w:pPr>
      <w:r>
        <w:rPr>
          <w:rFonts w:ascii="仿宋_GB2312" w:eastAsia="仿宋_GB2312" w:cs="仿宋_GB2312" w:hAnsi="仿宋_GB2312" w:hint="eastAsia"/>
          <w:kern w:val="0"/>
          <w:sz w:val="32"/>
          <w:szCs w:val="32"/>
          <w:shd w:val="clear" w:color="auto" w:fill="FFFFFF"/>
          <w:lang w:val="en-US" w:eastAsia="zh-CN" w:bidi="ar-SA"/>
        </w:rPr>
        <w:t>4.负责市文联系统全市性文艺奖项评奖工作。组织开展文艺评论、文艺理论研究、学术交流研讨等活动。</w:t>
      </w:r>
    </w:p>
    <w:p>
      <w:pPr>
        <w:pStyle w:val="24"/>
        <w:tabs>
          <w:tab w:val="right" w:leader="dot" w:pos="8296"/>
        </w:tabs>
        <w:ind w:leftChars="0" w:left="0" w:firstLineChars="200" w:firstLine="640"/>
        <w:rPr>
          <w:rFonts w:ascii="仿宋_GB2312" w:eastAsia="仿宋_GB2312" w:cs="仿宋_GB2312" w:hAnsi="仿宋_GB2312"/>
          <w:kern w:val="0"/>
          <w:sz w:val="32"/>
          <w:szCs w:val="32"/>
          <w:shd w:val="clear" w:color="auto" w:fill="FFFFFF"/>
          <w:lang w:val="en-US" w:eastAsia="zh-CN" w:bidi="ar-SA"/>
        </w:rPr>
      </w:pPr>
      <w:r>
        <w:rPr>
          <w:rFonts w:ascii="仿宋_GB2312" w:eastAsia="仿宋_GB2312" w:cs="仿宋_GB2312" w:hAnsi="仿宋_GB2312" w:hint="eastAsia"/>
          <w:kern w:val="0"/>
          <w:sz w:val="32"/>
          <w:szCs w:val="32"/>
          <w:shd w:val="clear" w:color="auto" w:fill="FFFFFF"/>
          <w:lang w:val="en-US" w:eastAsia="zh-CN" w:bidi="ar-SA"/>
        </w:rPr>
        <w:t>5.依法开展文艺领域行业教育、行业自律、行业服务和行业管理工作，开展行风建设和职业道德建设。</w:t>
      </w:r>
    </w:p>
    <w:p>
      <w:pPr>
        <w:pStyle w:val="24"/>
        <w:tabs>
          <w:tab w:val="right" w:leader="dot" w:pos="8296"/>
        </w:tabs>
        <w:ind w:leftChars="0" w:left="0" w:firstLineChars="200" w:firstLine="640"/>
        <w:rPr>
          <w:rFonts w:ascii="仿宋_GB2312" w:eastAsia="仿宋_GB2312" w:cs="仿宋_GB2312" w:hAnsi="仿宋_GB2312"/>
          <w:kern w:val="0"/>
          <w:sz w:val="32"/>
          <w:szCs w:val="32"/>
          <w:shd w:val="clear" w:color="auto" w:fill="FFFFFF"/>
          <w:lang w:val="en-US" w:eastAsia="zh-CN" w:bidi="ar-SA"/>
        </w:rPr>
      </w:pPr>
      <w:r>
        <w:rPr>
          <w:rFonts w:ascii="仿宋_GB2312" w:eastAsia="仿宋_GB2312" w:cs="仿宋_GB2312" w:hAnsi="仿宋_GB2312" w:hint="eastAsia"/>
          <w:kern w:val="0"/>
          <w:sz w:val="32"/>
          <w:szCs w:val="32"/>
          <w:shd w:val="clear" w:color="auto" w:fill="FFFFFF"/>
          <w:lang w:val="en-US" w:eastAsia="zh-CN" w:bidi="ar-SA"/>
        </w:rPr>
        <w:t>6.服务党和国家工作大局，推动中华优秀文化走出去，组织我市文艺界开展民间文艺交流合作，组织开展同港澳台地区的文化交流合作。</w:t>
      </w:r>
    </w:p>
    <w:p>
      <w:pPr>
        <w:pStyle w:val="24"/>
        <w:tabs>
          <w:tab w:val="right" w:leader="dot" w:pos="8296"/>
        </w:tabs>
        <w:ind w:leftChars="0" w:left="0" w:firstLineChars="200" w:firstLine="640"/>
        <w:rPr>
          <w:rFonts w:ascii="仿宋_GB2312" w:eastAsia="仿宋_GB2312" w:cs="仿宋_GB2312" w:hAnsi="仿宋_GB2312"/>
          <w:kern w:val="0"/>
          <w:sz w:val="32"/>
          <w:szCs w:val="32"/>
          <w:shd w:val="clear" w:color="auto" w:fill="FFFFFF"/>
          <w:lang w:val="en-US" w:eastAsia="zh-CN" w:bidi="ar-SA"/>
        </w:rPr>
      </w:pPr>
      <w:r>
        <w:rPr>
          <w:rFonts w:ascii="仿宋_GB2312" w:eastAsia="仿宋_GB2312" w:cs="仿宋_GB2312" w:hAnsi="仿宋_GB2312" w:hint="eastAsia"/>
          <w:kern w:val="0"/>
          <w:sz w:val="32"/>
          <w:szCs w:val="32"/>
          <w:shd w:val="clear" w:color="auto" w:fill="FFFFFF"/>
          <w:lang w:val="en-US" w:eastAsia="zh-CN" w:bidi="ar-SA"/>
        </w:rPr>
        <w:t>7.组织开展文艺领域侵权纠纷调解、权益保护协调合作、诉求表达处理、法律志愿服务等维权服务工作，维护文艺工作者合法权益。</w:t>
      </w:r>
    </w:p>
    <w:p>
      <w:pPr>
        <w:pStyle w:val="24"/>
        <w:tabs>
          <w:tab w:val="right" w:leader="dot" w:pos="8296"/>
        </w:tabs>
        <w:ind w:leftChars="0" w:left="0" w:firstLineChars="200" w:firstLine="640"/>
        <w:rPr>
          <w:rFonts w:ascii="仿宋_GB2312" w:eastAsia="仿宋_GB2312" w:cs="仿宋_GB2312" w:hAnsi="仿宋_GB2312"/>
          <w:kern w:val="0"/>
          <w:sz w:val="32"/>
          <w:szCs w:val="32"/>
          <w:shd w:val="clear" w:color="auto" w:fill="FFFFFF"/>
          <w:lang w:val="en-US" w:eastAsia="zh-CN" w:bidi="ar-SA"/>
        </w:rPr>
      </w:pPr>
      <w:r>
        <w:rPr>
          <w:rFonts w:ascii="仿宋_GB2312" w:eastAsia="仿宋_GB2312" w:cs="仿宋_GB2312" w:hAnsi="仿宋_GB2312" w:hint="eastAsia"/>
          <w:kern w:val="0"/>
          <w:sz w:val="32"/>
          <w:szCs w:val="32"/>
          <w:shd w:val="clear" w:color="auto" w:fill="FFFFFF"/>
          <w:lang w:val="en-US" w:eastAsia="zh-CN" w:bidi="ar-SA"/>
        </w:rPr>
        <w:t>8.依法依章程指导下级文联工作。</w:t>
      </w:r>
    </w:p>
    <w:p>
      <w:pPr>
        <w:pStyle w:val="24"/>
        <w:tabs>
          <w:tab w:val="right" w:leader="dot" w:pos="8296"/>
        </w:tabs>
        <w:ind w:leftChars="0" w:left="0" w:firstLineChars="200" w:firstLine="640"/>
        <w:rPr>
          <w:rFonts w:ascii="仿宋_GB2312" w:eastAsia="仿宋_GB2312" w:cs="仿宋_GB2312" w:hAnsi="仿宋_GB2312"/>
          <w:kern w:val="0"/>
          <w:sz w:val="32"/>
          <w:szCs w:val="32"/>
          <w:shd w:val="clear" w:color="auto" w:fill="FFFFFF"/>
          <w:lang w:val="en-US" w:eastAsia="zh-CN" w:bidi="ar-SA"/>
        </w:rPr>
      </w:pPr>
      <w:r>
        <w:rPr>
          <w:rFonts w:ascii="仿宋_GB2312" w:eastAsia="仿宋_GB2312" w:cs="仿宋_GB2312" w:hAnsi="仿宋_GB2312" w:hint="eastAsia"/>
          <w:kern w:val="0"/>
          <w:sz w:val="32"/>
          <w:szCs w:val="32"/>
          <w:shd w:val="clear" w:color="auto" w:fill="FFFFFF"/>
          <w:lang w:val="en-US" w:eastAsia="zh-CN" w:bidi="ar-SA"/>
        </w:rPr>
        <w:t>9.主管市文联所属的文艺报刊。负责对市文联主管的社会组织进行业务指导和监督管理。</w:t>
      </w:r>
    </w:p>
    <w:p>
      <w:pPr>
        <w:pStyle w:val="24"/>
        <w:tabs>
          <w:tab w:val="right" w:leader="dot" w:pos="8296"/>
        </w:tabs>
        <w:ind w:leftChars="0" w:left="0" w:firstLineChars="200" w:firstLine="640"/>
        <w:rPr>
          <w:rFonts w:ascii="仿宋_GB2312" w:eastAsia="仿宋_GB2312" w:cs="仿宋_GB2312" w:hAnsi="仿宋_GB2312"/>
          <w:kern w:val="0"/>
          <w:sz w:val="32"/>
          <w:szCs w:val="32"/>
          <w:shd w:val="clear" w:color="auto" w:fill="FFFFFF"/>
          <w:lang w:val="en-US" w:eastAsia="zh-CN" w:bidi="ar-SA"/>
        </w:rPr>
      </w:pPr>
      <w:r>
        <w:rPr>
          <w:rFonts w:ascii="仿宋_GB2312" w:eastAsia="仿宋_GB2312" w:cs="仿宋_GB2312" w:hAnsi="仿宋_GB2312" w:hint="eastAsia"/>
          <w:kern w:val="0"/>
          <w:sz w:val="32"/>
          <w:szCs w:val="32"/>
          <w:shd w:val="clear" w:color="auto" w:fill="FFFFFF"/>
          <w:lang w:val="en-US" w:eastAsia="zh-CN" w:bidi="ar-SA"/>
        </w:rPr>
        <w:t>10.完成市委、市政府交办的其他任务。</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60"/>
        <w:jc w:val="both"/>
        <w:outlineLvl w:val="9"/>
        <w:rPr>
          <w:rFonts w:ascii="Times New Roman" w:eastAsia="方正仿宋_GBK" w:cs="Times New Roman" w:hAnsi="Times New Roman"/>
          <w:caps w:val="0"/>
          <w:smallCaps w:val="0"/>
          <w:color w:val="auto"/>
          <w:kern w:val="0"/>
          <w:sz w:val="33"/>
          <w:szCs w:val="33"/>
          <w:shd w:val="clear" w:color="auto" w:fill="FFFFFF"/>
          <w:vertAlign w:val="baseline"/>
        </w:rPr>
      </w:pPr>
      <w:r>
        <w:rPr>
          <w:rFonts w:eastAsia="方正仿宋_GBK" w:cs="Times New Roman" w:hint="eastAsia"/>
          <w:b/>
          <w:bCs/>
          <w:caps w:val="0"/>
          <w:smallCaps w:val="0"/>
          <w:color w:val="auto"/>
          <w:kern w:val="0"/>
          <w:sz w:val="33"/>
          <w:szCs w:val="33"/>
          <w:shd w:val="clear" w:color="auto" w:fill="FFFFFF"/>
          <w:vertAlign w:val="baseline"/>
          <w:lang w:val="en-US" w:eastAsia="zh-CN"/>
        </w:rPr>
        <w:t>人员概况</w:t>
      </w:r>
      <w:r>
        <w:rPr>
          <w:rFonts w:eastAsia="方正仿宋_GBK" w:cs="Times New Roman" w:hint="eastAsia"/>
          <w:b w:val="0"/>
          <w:bCs w:val="0"/>
          <w:caps w:val="0"/>
          <w:smallCaps w:val="0"/>
          <w:color w:val="auto"/>
          <w:kern w:val="0"/>
          <w:sz w:val="33"/>
          <w:szCs w:val="33"/>
          <w:shd w:val="clear" w:color="auto" w:fill="FFFFFF"/>
          <w:vertAlign w:val="baseline"/>
          <w:lang w:val="en-US" w:eastAsia="zh-CN"/>
        </w:rPr>
        <w:t>。</w:t>
      </w:r>
      <w:r>
        <w:rPr>
          <w:rFonts w:ascii="Times New Roman" w:eastAsia="方正仿宋_GBK" w:cs="Times New Roman" w:hAnsi="Times New Roman"/>
          <w:b w:val="0"/>
          <w:bCs w:val="0"/>
          <w:caps w:val="0"/>
          <w:smallCaps w:val="0"/>
          <w:color w:val="auto"/>
          <w:kern w:val="0"/>
          <w:sz w:val="33"/>
          <w:szCs w:val="33"/>
          <w:shd w:val="clear" w:color="auto" w:fill="FFFFFF"/>
          <w:vertAlign w:val="baseline"/>
          <w:lang w:val="en-US" w:eastAsia="zh-CN"/>
        </w:rPr>
        <w:t>2022</w:t>
      </w:r>
      <w:r>
        <w:rPr>
          <w:rFonts w:ascii="方正仿宋_GBK" w:eastAsia="方正仿宋_GBK" w:cs="方正仿宋_GBK" w:hAnsi="方正仿宋_GBK" w:hint="eastAsia"/>
          <w:b w:val="0"/>
          <w:bCs w:val="0"/>
          <w:caps w:val="0"/>
          <w:smallCaps w:val="0"/>
          <w:color w:val="auto"/>
          <w:kern w:val="0"/>
          <w:sz w:val="33"/>
          <w:szCs w:val="33"/>
          <w:shd w:val="clear" w:color="auto" w:fill="FFFFFF"/>
          <w:vertAlign w:val="baseline"/>
          <w:lang w:val="en-US" w:eastAsia="zh-CN"/>
        </w:rPr>
        <w:t>年，</w:t>
      </w:r>
      <w:r>
        <w:rPr>
          <w:rFonts w:ascii="方正仿宋_GBK" w:eastAsia="方正仿宋_GBK" w:cs="方正仿宋_GBK" w:hAnsi="方正仿宋_GBK" w:hint="eastAsia"/>
          <w:b w:val="0"/>
          <w:bCs w:val="0"/>
          <w:caps w:val="0"/>
          <w:smallCaps w:val="0"/>
          <w:color w:val="auto"/>
          <w:kern w:val="2"/>
          <w:sz w:val="33"/>
          <w:szCs w:val="33"/>
          <w:vertAlign w:val="baseline"/>
          <w:lang w:val="en-US" w:eastAsia="zh-CN"/>
        </w:rPr>
        <w:t>市文联机关核定公务员编制</w:t>
      </w:r>
      <w:r>
        <w:rPr>
          <w:rFonts w:ascii="Times New Roman" w:eastAsia="方正仿宋_GBK" w:cs="Times New Roman" w:hAnsi="Times New Roman"/>
          <w:b w:val="0"/>
          <w:bCs w:val="0"/>
          <w:caps w:val="0"/>
          <w:smallCaps w:val="0"/>
          <w:color w:val="auto"/>
          <w:kern w:val="2"/>
          <w:sz w:val="33"/>
          <w:szCs w:val="33"/>
          <w:vertAlign w:val="baseline"/>
          <w:lang w:val="en-US" w:eastAsia="zh-CN"/>
        </w:rPr>
        <w:t>5</w:t>
      </w:r>
      <w:r>
        <w:rPr>
          <w:rFonts w:ascii="方正仿宋_GBK" w:eastAsia="方正仿宋_GBK" w:cs="方正仿宋_GBK" w:hAnsi="方正仿宋_GBK" w:hint="eastAsia"/>
          <w:b w:val="0"/>
          <w:bCs w:val="0"/>
          <w:caps w:val="0"/>
          <w:smallCaps w:val="0"/>
          <w:color w:val="auto"/>
          <w:kern w:val="2"/>
          <w:sz w:val="33"/>
          <w:szCs w:val="33"/>
          <w:vertAlign w:val="baseline"/>
          <w:lang w:val="en-US" w:eastAsia="zh-CN"/>
        </w:rPr>
        <w:t>名，实有</w:t>
      </w:r>
      <w:r>
        <w:rPr>
          <w:rFonts w:ascii="Times New Roman" w:eastAsia="方正仿宋_GBK" w:cs="Times New Roman" w:hAnsi="Times New Roman"/>
          <w:b w:val="0"/>
          <w:bCs w:val="0"/>
          <w:caps w:val="0"/>
          <w:smallCaps w:val="0"/>
          <w:color w:val="auto"/>
          <w:kern w:val="2"/>
          <w:sz w:val="33"/>
          <w:szCs w:val="33"/>
          <w:vertAlign w:val="baseline"/>
          <w:lang w:val="en-US" w:eastAsia="zh-CN"/>
        </w:rPr>
        <w:t>6</w:t>
      </w:r>
      <w:r>
        <w:rPr>
          <w:rFonts w:ascii="方正仿宋_GBK" w:eastAsia="方正仿宋_GBK" w:cs="方正仿宋_GBK" w:hAnsi="方正仿宋_GBK" w:hint="eastAsia"/>
          <w:b w:val="0"/>
          <w:bCs w:val="0"/>
          <w:caps w:val="0"/>
          <w:smallCaps w:val="0"/>
          <w:color w:val="auto"/>
          <w:kern w:val="2"/>
          <w:sz w:val="33"/>
          <w:szCs w:val="33"/>
          <w:vertAlign w:val="baseline"/>
          <w:lang w:val="en-US" w:eastAsia="zh-CN"/>
        </w:rPr>
        <w:t>名（含</w:t>
      </w:r>
      <w:r>
        <w:rPr>
          <w:rFonts w:ascii="Times New Roman" w:eastAsia="方正仿宋_GBK" w:cs="Times New Roman" w:hAnsi="Times New Roman"/>
          <w:b w:val="0"/>
          <w:bCs w:val="0"/>
          <w:caps w:val="0"/>
          <w:smallCaps w:val="0"/>
          <w:color w:val="auto"/>
          <w:kern w:val="2"/>
          <w:sz w:val="33"/>
          <w:szCs w:val="33"/>
          <w:vertAlign w:val="baseline"/>
          <w:lang w:val="en-US" w:eastAsia="zh-CN"/>
        </w:rPr>
        <w:t>1</w:t>
      </w:r>
      <w:r>
        <w:rPr>
          <w:rFonts w:ascii="方正仿宋_GBK" w:eastAsia="方正仿宋_GBK" w:cs="方正仿宋_GBK" w:hAnsi="方正仿宋_GBK" w:hint="eastAsia"/>
          <w:b w:val="0"/>
          <w:bCs w:val="0"/>
          <w:caps w:val="0"/>
          <w:smallCaps w:val="0"/>
          <w:color w:val="auto"/>
          <w:kern w:val="2"/>
          <w:sz w:val="33"/>
          <w:szCs w:val="33"/>
          <w:vertAlign w:val="baseline"/>
          <w:lang w:val="en-US" w:eastAsia="zh-CN"/>
        </w:rPr>
        <w:t>名单列编制市人大常委会工作的人员）；工勤编制</w:t>
      </w:r>
      <w:r>
        <w:rPr>
          <w:rFonts w:ascii="Times New Roman" w:eastAsia="方正仿宋_GBK" w:cs="Times New Roman" w:hAnsi="Times New Roman"/>
          <w:b w:val="0"/>
          <w:bCs w:val="0"/>
          <w:caps w:val="0"/>
          <w:smallCaps w:val="0"/>
          <w:color w:val="auto"/>
          <w:kern w:val="2"/>
          <w:sz w:val="33"/>
          <w:szCs w:val="33"/>
          <w:vertAlign w:val="baseline"/>
          <w:lang w:val="en-US" w:eastAsia="zh-CN"/>
        </w:rPr>
        <w:t>2</w:t>
      </w:r>
      <w:r>
        <w:rPr>
          <w:rFonts w:ascii="方正仿宋_GBK" w:eastAsia="方正仿宋_GBK" w:cs="方正仿宋_GBK" w:hAnsi="方正仿宋_GBK" w:hint="eastAsia"/>
          <w:b w:val="0"/>
          <w:bCs w:val="0"/>
          <w:caps w:val="0"/>
          <w:smallCaps w:val="0"/>
          <w:color w:val="auto"/>
          <w:kern w:val="2"/>
          <w:sz w:val="33"/>
          <w:szCs w:val="33"/>
          <w:vertAlign w:val="baseline"/>
          <w:lang w:val="en-US" w:eastAsia="zh-CN"/>
        </w:rPr>
        <w:t>名，实有</w:t>
      </w:r>
      <w:r>
        <w:rPr>
          <w:rFonts w:ascii="Times New Roman" w:eastAsia="方正仿宋_GBK" w:cs="Times New Roman" w:hAnsi="Times New Roman"/>
          <w:b w:val="0"/>
          <w:bCs w:val="0"/>
          <w:caps w:val="0"/>
          <w:smallCaps w:val="0"/>
          <w:color w:val="auto"/>
          <w:kern w:val="2"/>
          <w:sz w:val="33"/>
          <w:szCs w:val="33"/>
          <w:vertAlign w:val="baseline"/>
          <w:lang w:val="en-US" w:eastAsia="zh-CN"/>
        </w:rPr>
        <w:t>2</w:t>
      </w:r>
      <w:r>
        <w:rPr>
          <w:rFonts w:ascii="方正仿宋_GBK" w:eastAsia="方正仿宋_GBK" w:cs="方正仿宋_GBK" w:hAnsi="方正仿宋_GBK" w:hint="eastAsia"/>
          <w:b w:val="0"/>
          <w:bCs w:val="0"/>
          <w:caps w:val="0"/>
          <w:smallCaps w:val="0"/>
          <w:color w:val="auto"/>
          <w:kern w:val="2"/>
          <w:sz w:val="33"/>
          <w:szCs w:val="33"/>
          <w:vertAlign w:val="baseline"/>
          <w:lang w:val="en-US" w:eastAsia="zh-CN"/>
        </w:rPr>
        <w:t>名（按</w:t>
      </w:r>
      <w:r>
        <w:rPr>
          <w:rFonts w:ascii="Times New Roman" w:eastAsia="方正仿宋_GBK" w:cs="Times New Roman" w:hAnsi="Times New Roman"/>
          <w:b w:val="0"/>
          <w:bCs w:val="0"/>
          <w:caps w:val="0"/>
          <w:smallCaps w:val="0"/>
          <w:color w:val="auto"/>
          <w:kern w:val="2"/>
          <w:sz w:val="33"/>
          <w:szCs w:val="33"/>
          <w:vertAlign w:val="baseline"/>
          <w:lang w:val="en-US" w:eastAsia="zh-CN"/>
        </w:rPr>
        <w:t>86</w:t>
      </w:r>
      <w:r>
        <w:rPr>
          <w:rFonts w:ascii="方正仿宋_GBK" w:eastAsia="方正仿宋_GBK" w:cs="方正仿宋_GBK" w:hAnsi="方正仿宋_GBK" w:hint="eastAsia"/>
          <w:b w:val="0"/>
          <w:bCs w:val="0"/>
          <w:caps w:val="0"/>
          <w:smallCaps w:val="0"/>
          <w:color w:val="auto"/>
          <w:kern w:val="2"/>
          <w:sz w:val="33"/>
          <w:szCs w:val="33"/>
          <w:vertAlign w:val="baseline"/>
          <w:lang w:val="en-US" w:eastAsia="zh-CN"/>
        </w:rPr>
        <w:t>号文件管理人员</w:t>
      </w:r>
      <w:r>
        <w:rPr>
          <w:rFonts w:ascii="Times New Roman" w:eastAsia="方正仿宋_GBK" w:cs="Times New Roman" w:hAnsi="Times New Roman"/>
          <w:b w:val="0"/>
          <w:bCs w:val="0"/>
          <w:caps w:val="0"/>
          <w:smallCaps w:val="0"/>
          <w:color w:val="auto"/>
          <w:kern w:val="2"/>
          <w:sz w:val="33"/>
          <w:szCs w:val="33"/>
          <w:vertAlign w:val="baseline"/>
          <w:lang w:val="en-US" w:eastAsia="zh-CN"/>
        </w:rPr>
        <w:t>1</w:t>
      </w:r>
      <w:r>
        <w:rPr>
          <w:rFonts w:ascii="方正仿宋_GBK" w:eastAsia="方正仿宋_GBK" w:cs="方正仿宋_GBK" w:hAnsi="方正仿宋_GBK" w:hint="eastAsia"/>
          <w:b w:val="0"/>
          <w:bCs w:val="0"/>
          <w:caps w:val="0"/>
          <w:smallCaps w:val="0"/>
          <w:color w:val="auto"/>
          <w:kern w:val="2"/>
          <w:sz w:val="33"/>
          <w:szCs w:val="33"/>
          <w:vertAlign w:val="baseline"/>
          <w:lang w:val="en-US" w:eastAsia="zh-CN"/>
        </w:rPr>
        <w:t>名及机关工勤</w:t>
      </w:r>
      <w:r>
        <w:rPr>
          <w:rFonts w:ascii="Times New Roman" w:eastAsia="方正仿宋_GBK" w:cs="Times New Roman" w:hAnsi="Times New Roman"/>
          <w:b w:val="0"/>
          <w:bCs w:val="0"/>
          <w:caps w:val="0"/>
          <w:smallCaps w:val="0"/>
          <w:color w:val="auto"/>
          <w:kern w:val="2"/>
          <w:sz w:val="33"/>
          <w:szCs w:val="33"/>
          <w:vertAlign w:val="baseline"/>
          <w:lang w:val="en-US" w:eastAsia="zh-CN"/>
        </w:rPr>
        <w:t>1</w:t>
      </w:r>
      <w:r>
        <w:rPr>
          <w:rFonts w:ascii="方正仿宋_GBK" w:eastAsia="方正仿宋_GBK" w:cs="方正仿宋_GBK" w:hAnsi="方正仿宋_GBK" w:hint="eastAsia"/>
          <w:b w:val="0"/>
          <w:bCs w:val="0"/>
          <w:caps w:val="0"/>
          <w:smallCaps w:val="0"/>
          <w:color w:val="auto"/>
          <w:kern w:val="2"/>
          <w:sz w:val="33"/>
          <w:szCs w:val="33"/>
          <w:vertAlign w:val="baseline"/>
          <w:lang w:val="en-US" w:eastAsia="zh-CN"/>
        </w:rPr>
        <w:t>名）。攀枝花文学院核定事业编制</w:t>
      </w:r>
      <w:r>
        <w:rPr>
          <w:rFonts w:ascii="Times New Roman" w:eastAsia="方正仿宋_GBK" w:cs="Times New Roman" w:hAnsi="Times New Roman"/>
          <w:b w:val="0"/>
          <w:bCs w:val="0"/>
          <w:caps w:val="0"/>
          <w:smallCaps w:val="0"/>
          <w:color w:val="auto"/>
          <w:kern w:val="2"/>
          <w:sz w:val="33"/>
          <w:szCs w:val="33"/>
          <w:vertAlign w:val="baseline"/>
          <w:lang w:val="en-US" w:eastAsia="zh-CN"/>
        </w:rPr>
        <w:t>10</w:t>
      </w:r>
      <w:r>
        <w:rPr>
          <w:rFonts w:ascii="方正仿宋_GBK" w:eastAsia="方正仿宋_GBK" w:cs="方正仿宋_GBK" w:hAnsi="方正仿宋_GBK" w:hint="eastAsia"/>
          <w:b w:val="0"/>
          <w:bCs w:val="0"/>
          <w:caps w:val="0"/>
          <w:smallCaps w:val="0"/>
          <w:color w:val="auto"/>
          <w:kern w:val="2"/>
          <w:sz w:val="33"/>
          <w:szCs w:val="33"/>
          <w:vertAlign w:val="baseline"/>
          <w:lang w:val="en-US" w:eastAsia="zh-CN"/>
        </w:rPr>
        <w:t>名，实有</w:t>
      </w:r>
      <w:r>
        <w:rPr>
          <w:rFonts w:ascii="Times New Roman" w:eastAsia="方正仿宋_GBK" w:cs="Times New Roman" w:hAnsi="Times New Roman"/>
          <w:b w:val="0"/>
          <w:bCs w:val="0"/>
          <w:caps w:val="0"/>
          <w:smallCaps w:val="0"/>
          <w:color w:val="auto"/>
          <w:kern w:val="2"/>
          <w:sz w:val="33"/>
          <w:szCs w:val="33"/>
          <w:vertAlign w:val="baseline"/>
          <w:lang w:val="en-US" w:eastAsia="zh-CN"/>
        </w:rPr>
        <w:t>9</w:t>
      </w:r>
      <w:r>
        <w:rPr>
          <w:rFonts w:ascii="方正仿宋_GBK" w:eastAsia="方正仿宋_GBK" w:cs="方正仿宋_GBK" w:hAnsi="方正仿宋_GBK" w:hint="eastAsia"/>
          <w:b w:val="0"/>
          <w:bCs w:val="0"/>
          <w:caps w:val="0"/>
          <w:smallCaps w:val="0"/>
          <w:color w:val="auto"/>
          <w:kern w:val="2"/>
          <w:sz w:val="33"/>
          <w:szCs w:val="33"/>
          <w:vertAlign w:val="baseline"/>
          <w:lang w:val="en-US" w:eastAsia="zh-CN"/>
        </w:rPr>
        <w:t>名。攀枝花市书画院核定事业编制</w:t>
      </w:r>
      <w:r>
        <w:rPr>
          <w:rFonts w:ascii="Times New Roman" w:eastAsia="方正仿宋_GBK" w:cs="Times New Roman" w:hAnsi="Times New Roman"/>
          <w:b w:val="0"/>
          <w:bCs w:val="0"/>
          <w:caps w:val="0"/>
          <w:smallCaps w:val="0"/>
          <w:color w:val="auto"/>
          <w:kern w:val="2"/>
          <w:sz w:val="33"/>
          <w:szCs w:val="33"/>
          <w:vertAlign w:val="baseline"/>
          <w:lang w:val="en-US" w:eastAsia="zh-CN"/>
        </w:rPr>
        <w:t>8</w:t>
      </w:r>
      <w:r>
        <w:rPr>
          <w:rFonts w:ascii="方正仿宋_GBK" w:eastAsia="方正仿宋_GBK" w:cs="方正仿宋_GBK" w:hAnsi="方正仿宋_GBK" w:hint="eastAsia"/>
          <w:b w:val="0"/>
          <w:bCs w:val="0"/>
          <w:caps w:val="0"/>
          <w:smallCaps w:val="0"/>
          <w:color w:val="auto"/>
          <w:kern w:val="2"/>
          <w:sz w:val="33"/>
          <w:szCs w:val="33"/>
          <w:vertAlign w:val="baseline"/>
          <w:lang w:val="en-US" w:eastAsia="zh-CN"/>
        </w:rPr>
        <w:t>名，实有</w:t>
      </w:r>
      <w:r>
        <w:rPr>
          <w:rFonts w:ascii="Times New Roman" w:eastAsia="方正仿宋_GBK" w:cs="Times New Roman" w:hAnsi="Times New Roman"/>
          <w:b w:val="0"/>
          <w:bCs w:val="0"/>
          <w:caps w:val="0"/>
          <w:smallCaps w:val="0"/>
          <w:color w:val="000000"/>
          <w:kern w:val="2"/>
          <w:sz w:val="33"/>
          <w:szCs w:val="33"/>
          <w:vertAlign w:val="baseline"/>
          <w14:textFill>
            <w14:solidFill>
              <w14:srgbClr w14:val="000000"/>
            </w14:solidFill>
          </w14:textFill>
          <w:lang w:val="en-US" w:eastAsia="zh-CN"/>
        </w:rPr>
        <w:t>6</w:t>
      </w:r>
      <w:r>
        <w:rPr>
          <w:rFonts w:ascii="方正仿宋_GBK" w:eastAsia="方正仿宋_GBK" w:cs="方正仿宋_GBK" w:hAnsi="方正仿宋_GBK" w:hint="eastAsia"/>
          <w:b w:val="0"/>
          <w:bCs w:val="0"/>
          <w:caps w:val="0"/>
          <w:smallCaps w:val="0"/>
          <w:color w:val="auto"/>
          <w:kern w:val="2"/>
          <w:sz w:val="33"/>
          <w:szCs w:val="33"/>
          <w:vertAlign w:val="baseline"/>
          <w:lang w:val="en-US" w:eastAsia="zh-CN"/>
        </w:rPr>
        <w:t>名。市文联机关及下属事业单位现有离退休人员19名（离休人员</w:t>
      </w:r>
      <w:r>
        <w:rPr>
          <w:rFonts w:ascii="Times New Roman" w:eastAsia="方正仿宋_GBK" w:cs="Times New Roman" w:hAnsi="Times New Roman"/>
          <w:b w:val="0"/>
          <w:bCs w:val="0"/>
          <w:caps w:val="0"/>
          <w:smallCaps w:val="0"/>
          <w:color w:val="auto"/>
          <w:kern w:val="2"/>
          <w:sz w:val="33"/>
          <w:szCs w:val="33"/>
          <w:vertAlign w:val="baseline"/>
          <w:lang w:val="en-US" w:eastAsia="zh-CN"/>
        </w:rPr>
        <w:t>1</w:t>
      </w:r>
      <w:r>
        <w:rPr>
          <w:rFonts w:ascii="方正仿宋_GBK" w:eastAsia="方正仿宋_GBK" w:cs="方正仿宋_GBK" w:hAnsi="方正仿宋_GBK" w:hint="eastAsia"/>
          <w:b w:val="0"/>
          <w:bCs w:val="0"/>
          <w:caps w:val="0"/>
          <w:smallCaps w:val="0"/>
          <w:color w:val="auto"/>
          <w:kern w:val="2"/>
          <w:sz w:val="33"/>
          <w:szCs w:val="33"/>
          <w:vertAlign w:val="baseline"/>
          <w:lang w:val="en-US" w:eastAsia="zh-CN"/>
        </w:rPr>
        <w:t>名、退休人员</w:t>
      </w:r>
      <w:r>
        <w:rPr>
          <w:rFonts w:ascii="Times New Roman" w:eastAsia="方正仿宋_GBK" w:cs="Times New Roman" w:hAnsi="Times New Roman"/>
          <w:b w:val="0"/>
          <w:bCs w:val="0"/>
          <w:caps w:val="0"/>
          <w:smallCaps w:val="0"/>
          <w:color w:val="auto"/>
          <w:kern w:val="2"/>
          <w:sz w:val="33"/>
          <w:szCs w:val="33"/>
          <w:vertAlign w:val="baseline"/>
          <w:lang w:val="en-US" w:eastAsia="zh-CN"/>
        </w:rPr>
        <w:t>18</w:t>
      </w:r>
      <w:r>
        <w:rPr>
          <w:rFonts w:ascii="方正仿宋_GBK" w:eastAsia="方正仿宋_GBK" w:cs="方正仿宋_GBK" w:hAnsi="方正仿宋_GBK" w:hint="eastAsia"/>
          <w:b w:val="0"/>
          <w:bCs w:val="0"/>
          <w:caps w:val="0"/>
          <w:smallCaps w:val="0"/>
          <w:color w:val="auto"/>
          <w:kern w:val="2"/>
          <w:sz w:val="33"/>
          <w:szCs w:val="33"/>
          <w:vertAlign w:val="baseline"/>
          <w:lang w:val="en-US" w:eastAsia="zh-CN"/>
        </w:rPr>
        <w:t>名）。</w:t>
      </w:r>
    </w:p>
    <w:p>
      <w:pPr>
        <w:widowControl/>
        <w:adjustRightInd w:val="0"/>
        <w:snapToGrid w:val="0"/>
        <w:spacing w:line="560" w:lineRule="exact"/>
        <w:ind w:firstLineChars="200" w:firstLine="640"/>
        <w:contextualSpacing/>
        <w:jc w:val="left"/>
        <w:rPr>
          <w:rFonts w:ascii="楷体_GB2312" w:eastAsia="楷体_GB2312" w:cs="楷体_GB2312" w:hAnsi="楷体_GB2312" w:hint="eastAsia"/>
          <w:b/>
          <w:bCs/>
          <w:kern w:val="0"/>
          <w:sz w:val="32"/>
          <w:szCs w:val="32"/>
          <w:shd w:val="clear" w:color="auto" w:fill="FFFFFF"/>
          <w:lang w:val="zh-CN"/>
        </w:rPr>
      </w:pPr>
      <w:r>
        <w:rPr>
          <w:rFonts w:ascii="楷体_GB2312" w:eastAsia="楷体_GB2312" w:cs="楷体_GB2312" w:hAnsi="楷体_GB2312" w:hint="eastAsia"/>
          <w:b/>
          <w:bCs/>
          <w:kern w:val="0"/>
          <w:sz w:val="32"/>
          <w:szCs w:val="32"/>
          <w:shd w:val="clear" w:color="auto" w:fill="FFFFFF"/>
          <w:lang w:val="zh-CN"/>
        </w:rPr>
        <w:t>（三）年度主要工作任务。</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60"/>
        <w:jc w:val="both"/>
        <w:outlineLvl w:val="9"/>
        <w:rPr>
          <w:rFonts w:ascii="方正楷体_GBK" w:eastAsia="方正楷体_GBK" w:cs="Times New Roman" w:hAnsi="方正楷体_GBK" w:hint="eastAsia"/>
          <w:b/>
          <w:bCs/>
          <w:caps w:val="0"/>
          <w:smallCaps w:val="0"/>
          <w:color w:val="auto"/>
          <w:kern w:val="2"/>
          <w:sz w:val="33"/>
          <w:szCs w:val="33"/>
          <w:vertAlign w:val="baseline"/>
        </w:rPr>
      </w:pPr>
      <w:r>
        <w:rPr>
          <w:rFonts w:ascii="方正楷体_GBK" w:eastAsia="方正楷体_GBK" w:cs="Times New Roman" w:hAnsi="方正楷体_GBK" w:hint="eastAsia"/>
          <w:b/>
          <w:bCs/>
          <w:caps w:val="0"/>
          <w:smallCaps w:val="0"/>
          <w:color w:val="auto"/>
          <w:kern w:val="2"/>
          <w:sz w:val="33"/>
          <w:szCs w:val="33"/>
          <w:vertAlign w:val="baseline"/>
          <w:lang w:val="en-US" w:eastAsia="zh-CN"/>
        </w:rPr>
        <w:t>1.突出政治引领，守牢文艺阵地</w:t>
      </w:r>
    </w:p>
    <w:p>
      <w:pPr>
        <w:widowControl/>
        <w:adjustRightInd w:val="0"/>
        <w:snapToGrid w:val="0"/>
        <w:spacing w:line="560" w:lineRule="exact"/>
        <w:ind w:firstLineChars="200" w:firstLine="640"/>
        <w:contextualSpacing/>
        <w:jc w:val="left"/>
        <w:rPr>
          <w:rFonts w:ascii="仿宋_GB2312" w:eastAsia="仿宋_GB2312" w:cs="仿宋_GB2312" w:hAnsi="仿宋_GB2312"/>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统筹做好党的二十大精神、习近平总书记来川视察重要指示精神、省委十二届二次全会、市第十一次党代会及市委十一届二次全会精神等的学习宣传贯彻，实施政治引领、学习铸魂、主题创作、文艺惠民、能力锻造</w:t>
      </w:r>
      <w:r>
        <w:rPr>
          <w:rFonts w:ascii="仿宋_GB2312" w:eastAsia="仿宋_GB2312" w:cs="仿宋_GB2312" w:hAnsi="仿宋_GB2312"/>
          <w:kern w:val="0"/>
          <w:sz w:val="32"/>
          <w:szCs w:val="32"/>
          <w:shd w:val="clear" w:color="auto" w:fill="FFFFFF"/>
          <w:lang w:val="en-US" w:eastAsia="zh-CN"/>
        </w:rPr>
        <w:t>“</w:t>
      </w:r>
      <w:r>
        <w:rPr>
          <w:rFonts w:ascii="仿宋_GB2312" w:eastAsia="仿宋_GB2312" w:cs="仿宋_GB2312" w:hAnsi="仿宋_GB2312" w:hint="eastAsia"/>
          <w:kern w:val="0"/>
          <w:sz w:val="32"/>
          <w:szCs w:val="32"/>
          <w:shd w:val="clear" w:color="auto" w:fill="FFFFFF"/>
          <w:lang w:val="en-US" w:eastAsia="zh-CN"/>
        </w:rPr>
        <w:t>五大行动</w:t>
      </w:r>
      <w:r>
        <w:rPr>
          <w:rFonts w:ascii="仿宋_GB2312" w:eastAsia="仿宋_GB2312" w:cs="仿宋_GB2312" w:hAnsi="仿宋_GB2312"/>
          <w:kern w:val="0"/>
          <w:sz w:val="32"/>
          <w:szCs w:val="32"/>
          <w:shd w:val="clear" w:color="auto" w:fill="FFFFFF"/>
          <w:lang w:val="en-US" w:eastAsia="zh-CN"/>
        </w:rPr>
        <w:t>”</w:t>
      </w:r>
      <w:r>
        <w:rPr>
          <w:rFonts w:ascii="仿宋_GB2312" w:eastAsia="仿宋_GB2312" w:cs="仿宋_GB2312" w:hAnsi="仿宋_GB2312" w:hint="eastAsia"/>
          <w:kern w:val="0"/>
          <w:sz w:val="32"/>
          <w:szCs w:val="32"/>
          <w:shd w:val="clear" w:color="auto" w:fill="FFFFFF"/>
          <w:lang w:val="en-US" w:eastAsia="zh-CN"/>
        </w:rPr>
        <w:t>。抓实党建、全面从严治党、党风廉政建设、意识形态、思想政治、安全维稳工作，加强文艺组织、文艺媒体、文艺活动管理，推动文艺健康发展。</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Chars="200" w:firstLine="660"/>
        <w:jc w:val="both"/>
        <w:outlineLvl w:val="9"/>
        <w:rPr>
          <w:rFonts w:ascii="方正楷体_GBK" w:eastAsia="方正楷体_GBK" w:cs="Times New Roman" w:hAnsi="方正楷体_GBK" w:hint="eastAsia"/>
          <w:b/>
          <w:bCs/>
          <w:caps w:val="0"/>
          <w:smallCaps w:val="0"/>
          <w:color w:val="auto"/>
          <w:kern w:val="2"/>
          <w:sz w:val="33"/>
          <w:szCs w:val="33"/>
          <w:vertAlign w:val="baseline"/>
        </w:rPr>
      </w:pPr>
      <w:r>
        <w:rPr>
          <w:rFonts w:ascii="方正楷体_GBK" w:eastAsia="方正楷体_GBK" w:cs="Times New Roman" w:hAnsi="方正楷体_GBK" w:hint="eastAsia"/>
          <w:b/>
          <w:bCs/>
          <w:caps w:val="0"/>
          <w:smallCaps w:val="0"/>
          <w:color w:val="auto"/>
          <w:kern w:val="2"/>
          <w:sz w:val="33"/>
          <w:szCs w:val="33"/>
          <w:vertAlign w:val="baseline"/>
          <w:lang w:val="en-US" w:eastAsia="zh-CN"/>
        </w:rPr>
        <w:t>2.牵头重大活动，扩大文艺影响</w:t>
      </w:r>
    </w:p>
    <w:p>
      <w:pPr>
        <w:widowControl/>
        <w:adjustRightInd w:val="0"/>
        <w:snapToGrid w:val="0"/>
        <w:spacing w:line="560" w:lineRule="exact"/>
        <w:ind w:firstLineChars="200" w:firstLine="640"/>
        <w:contextualSpacing/>
        <w:jc w:val="left"/>
        <w:rPr>
          <w:rFonts w:ascii="仿宋_GB2312" w:eastAsia="仿宋_GB2312" w:cs="仿宋_GB2312" w:hAnsi="仿宋_GB2312"/>
          <w:kern w:val="0"/>
          <w:sz w:val="32"/>
          <w:szCs w:val="32"/>
          <w:shd w:val="clear" w:color="auto" w:fill="FFFFFF"/>
          <w:lang w:val="en-US" w:eastAsia="zh-CN"/>
        </w:rPr>
      </w:pPr>
      <w:r>
        <w:rPr>
          <w:rFonts w:ascii="仿宋_GB2312" w:eastAsia="仿宋_GB2312" w:cs="仿宋_GB2312" w:hAnsi="仿宋_GB2312" w:hint="eastAsia"/>
          <w:kern w:val="0"/>
          <w:sz w:val="32"/>
          <w:szCs w:val="32"/>
          <w:shd w:val="clear" w:color="auto" w:fill="FFFFFF"/>
          <w:lang w:val="en-US" w:eastAsia="zh-CN"/>
        </w:rPr>
        <w:t>牵头组织新时代攀枝花精神表述语凝练活动，去年已完成表述语征集、凝练和论证工作，形成《新时代攀枝花精神表述语（送审稿）》，已提炼出</w:t>
      </w:r>
      <w:r>
        <w:rPr>
          <w:rFonts w:ascii="仿宋_GB2312" w:eastAsia="仿宋_GB2312" w:cs="仿宋_GB2312" w:hAnsi="仿宋_GB2312"/>
          <w:kern w:val="0"/>
          <w:sz w:val="32"/>
          <w:szCs w:val="32"/>
          <w:shd w:val="clear" w:color="auto" w:fill="FFFFFF"/>
          <w:lang w:val="en-US" w:eastAsia="zh-CN"/>
        </w:rPr>
        <w:t>2</w:t>
      </w:r>
      <w:r>
        <w:rPr>
          <w:rFonts w:ascii="仿宋_GB2312" w:eastAsia="仿宋_GB2312" w:cs="仿宋_GB2312" w:hAnsi="仿宋_GB2312" w:hint="eastAsia"/>
          <w:kern w:val="0"/>
          <w:sz w:val="32"/>
          <w:szCs w:val="32"/>
          <w:shd w:val="clear" w:color="auto" w:fill="FFFFFF"/>
          <w:lang w:val="en-US" w:eastAsia="zh-CN"/>
        </w:rPr>
        <w:t>条新时代攀枝花精神候选表述语，面向社会公开征求意见（目前已完成意见征集工作）。此项活动开展以来，群众参与积极，社会反响热烈，共征集到表述语</w:t>
      </w:r>
      <w:r>
        <w:rPr>
          <w:rFonts w:ascii="仿宋_GB2312" w:eastAsia="仿宋_GB2312" w:cs="仿宋_GB2312" w:hAnsi="仿宋_GB2312"/>
          <w:kern w:val="0"/>
          <w:sz w:val="32"/>
          <w:szCs w:val="32"/>
          <w:shd w:val="clear" w:color="auto" w:fill="FFFFFF"/>
          <w:lang w:val="en-US" w:eastAsia="zh-CN"/>
        </w:rPr>
        <w:t>1797</w:t>
      </w:r>
      <w:r>
        <w:rPr>
          <w:rFonts w:ascii="仿宋_GB2312" w:eastAsia="仿宋_GB2312" w:cs="仿宋_GB2312" w:hAnsi="仿宋_GB2312" w:hint="eastAsia"/>
          <w:kern w:val="0"/>
          <w:sz w:val="32"/>
          <w:szCs w:val="32"/>
          <w:shd w:val="clear" w:color="auto" w:fill="FFFFFF"/>
          <w:lang w:val="en-US" w:eastAsia="zh-CN"/>
        </w:rPr>
        <w:t>条，</w:t>
      </w:r>
      <w:r>
        <w:rPr>
          <w:rFonts w:ascii="仿宋_GB2312" w:eastAsia="仿宋_GB2312" w:cs="仿宋_GB2312" w:hAnsi="仿宋_GB2312"/>
          <w:kern w:val="0"/>
          <w:sz w:val="32"/>
          <w:szCs w:val="32"/>
          <w:shd w:val="clear" w:color="auto" w:fill="FFFFFF"/>
          <w:lang w:val="en-US" w:eastAsia="zh-CN"/>
        </w:rPr>
        <w:t>70%</w:t>
      </w:r>
      <w:r>
        <w:rPr>
          <w:rFonts w:ascii="仿宋_GB2312" w:eastAsia="仿宋_GB2312" w:cs="仿宋_GB2312" w:hAnsi="仿宋_GB2312" w:hint="eastAsia"/>
          <w:kern w:val="0"/>
          <w:sz w:val="32"/>
          <w:szCs w:val="32"/>
          <w:shd w:val="clear" w:color="auto" w:fill="FFFFFF"/>
          <w:lang w:val="en-US" w:eastAsia="zh-CN"/>
        </w:rPr>
        <w:t>的投稿者来自市外，收到社会各界调查问卷</w:t>
      </w:r>
      <w:r>
        <w:rPr>
          <w:rFonts w:ascii="仿宋_GB2312" w:eastAsia="仿宋_GB2312" w:cs="仿宋_GB2312" w:hAnsi="仿宋_GB2312"/>
          <w:kern w:val="0"/>
          <w:sz w:val="32"/>
          <w:szCs w:val="32"/>
          <w:shd w:val="clear" w:color="auto" w:fill="FFFFFF"/>
          <w:lang w:val="en-US" w:eastAsia="zh-CN"/>
        </w:rPr>
        <w:t>1</w:t>
      </w:r>
      <w:r>
        <w:rPr>
          <w:rFonts w:ascii="仿宋_GB2312" w:eastAsia="仿宋_GB2312" w:cs="仿宋_GB2312" w:hAnsi="仿宋_GB2312" w:hint="eastAsia"/>
          <w:kern w:val="0"/>
          <w:sz w:val="32"/>
          <w:szCs w:val="32"/>
          <w:shd w:val="clear" w:color="auto" w:fill="FFFFFF"/>
          <w:lang w:val="en-US" w:eastAsia="zh-CN"/>
        </w:rPr>
        <w:t>万余份，极大提升了我市在全国的关注度和影响力，极大激发了全市人民热爱攀枝花的热情。</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Chars="200" w:firstLine="660"/>
        <w:jc w:val="both"/>
        <w:outlineLvl w:val="9"/>
        <w:rPr>
          <w:rFonts w:ascii="方正楷体_GBK" w:eastAsia="方正楷体_GBK" w:cs="Times New Roman" w:hAnsi="方正楷体_GBK" w:hint="eastAsia"/>
          <w:b/>
          <w:bCs/>
          <w:caps w:val="0"/>
          <w:smallCaps w:val="0"/>
          <w:color w:val="auto"/>
          <w:kern w:val="2"/>
          <w:sz w:val="33"/>
          <w:szCs w:val="33"/>
          <w:vertAlign w:val="baseline"/>
        </w:rPr>
      </w:pPr>
      <w:r>
        <w:rPr>
          <w:rFonts w:ascii="方正楷体_GBK" w:eastAsia="方正楷体_GBK" w:cs="Times New Roman" w:hAnsi="方正楷体_GBK" w:hint="eastAsia"/>
          <w:b/>
          <w:bCs/>
          <w:caps w:val="0"/>
          <w:smallCaps w:val="0"/>
          <w:color w:val="auto"/>
          <w:kern w:val="2"/>
          <w:sz w:val="33"/>
          <w:szCs w:val="33"/>
          <w:vertAlign w:val="baseline"/>
          <w:lang w:val="en-US" w:eastAsia="zh-CN"/>
        </w:rPr>
        <w:t>3.聚焦重大题材，推出文艺精品</w:t>
      </w:r>
    </w:p>
    <w:p>
      <w:pPr>
        <w:widowControl/>
        <w:adjustRightInd w:val="0"/>
        <w:snapToGrid w:val="0"/>
        <w:spacing w:line="560" w:lineRule="exact"/>
        <w:ind w:firstLineChars="200" w:firstLine="640"/>
        <w:contextualSpacing/>
        <w:jc w:val="left"/>
        <w:rPr>
          <w:rFonts w:ascii="仿宋_GB2312" w:eastAsia="仿宋_GB2312" w:cs="仿宋_GB2312" w:hAnsi="仿宋_GB2312"/>
          <w:kern w:val="0"/>
          <w:sz w:val="32"/>
          <w:szCs w:val="32"/>
          <w:shd w:val="clear" w:color="auto" w:fill="FFFFFF"/>
          <w:lang w:val="en-US" w:eastAsia="zh-CN"/>
        </w:rPr>
      </w:pPr>
      <w:r>
        <w:rPr>
          <w:rFonts w:ascii="仿宋_GB2312" w:eastAsia="仿宋_GB2312" w:cs="仿宋_GB2312" w:hAnsi="仿宋_GB2312" w:hint="eastAsia"/>
          <w:kern w:val="0"/>
          <w:sz w:val="32"/>
          <w:szCs w:val="32"/>
          <w:shd w:val="clear" w:color="auto" w:fill="FFFFFF"/>
          <w:lang w:val="en-US" w:eastAsia="zh-CN"/>
        </w:rPr>
        <w:t>举办</w:t>
      </w:r>
      <w:r>
        <w:rPr>
          <w:rFonts w:ascii="仿宋_GB2312" w:eastAsia="仿宋_GB2312" w:cs="仿宋_GB2312" w:hAnsi="仿宋_GB2312"/>
          <w:kern w:val="0"/>
          <w:sz w:val="32"/>
          <w:szCs w:val="32"/>
          <w:shd w:val="clear" w:color="auto" w:fill="FFFFFF"/>
          <w:lang w:val="en-US" w:eastAsia="zh-CN"/>
        </w:rPr>
        <w:t>“</w:t>
      </w:r>
      <w:r>
        <w:rPr>
          <w:rFonts w:ascii="仿宋_GB2312" w:eastAsia="仿宋_GB2312" w:cs="仿宋_GB2312" w:hAnsi="仿宋_GB2312" w:hint="eastAsia"/>
          <w:kern w:val="0"/>
          <w:sz w:val="32"/>
          <w:szCs w:val="32"/>
          <w:shd w:val="clear" w:color="auto" w:fill="FFFFFF"/>
          <w:lang w:val="en-US" w:eastAsia="zh-CN"/>
        </w:rPr>
        <w:t>花城廉韵</w:t>
      </w:r>
      <w:r>
        <w:rPr>
          <w:rFonts w:ascii="仿宋_GB2312" w:eastAsia="仿宋_GB2312" w:cs="仿宋_GB2312" w:hAnsi="仿宋_GB2312"/>
          <w:kern w:val="0"/>
          <w:sz w:val="32"/>
          <w:szCs w:val="32"/>
          <w:shd w:val="clear" w:color="auto" w:fill="FFFFFF"/>
          <w:lang w:val="en-US" w:eastAsia="zh-CN"/>
        </w:rPr>
        <w:t>”</w:t>
      </w:r>
      <w:r>
        <w:rPr>
          <w:rFonts w:ascii="仿宋_GB2312" w:eastAsia="仿宋_GB2312" w:cs="仿宋_GB2312" w:hAnsi="仿宋_GB2312" w:hint="eastAsia"/>
          <w:kern w:val="0"/>
          <w:sz w:val="32"/>
          <w:szCs w:val="32"/>
          <w:shd w:val="clear" w:color="auto" w:fill="FFFFFF"/>
          <w:lang w:val="en-US" w:eastAsia="zh-CN"/>
        </w:rPr>
        <w:t>廉洁书画作品展、</w:t>
      </w:r>
      <w:r>
        <w:rPr>
          <w:rFonts w:ascii="仿宋_GB2312" w:eastAsia="仿宋_GB2312" w:cs="仿宋_GB2312" w:hAnsi="仿宋_GB2312"/>
          <w:kern w:val="0"/>
          <w:sz w:val="32"/>
          <w:szCs w:val="32"/>
          <w:shd w:val="clear" w:color="auto" w:fill="FFFFFF"/>
          <w:lang w:val="en-US" w:eastAsia="zh-CN"/>
        </w:rPr>
        <w:t>“</w:t>
      </w:r>
      <w:r>
        <w:rPr>
          <w:rFonts w:ascii="仿宋_GB2312" w:eastAsia="仿宋_GB2312" w:cs="仿宋_GB2312" w:hAnsi="仿宋_GB2312" w:hint="eastAsia"/>
          <w:kern w:val="0"/>
          <w:sz w:val="32"/>
          <w:szCs w:val="32"/>
          <w:shd w:val="clear" w:color="auto" w:fill="FFFFFF"/>
          <w:lang w:val="en-US" w:eastAsia="zh-CN"/>
        </w:rPr>
        <w:t>喜迎二十大 奋进新时代</w:t>
      </w:r>
      <w:r>
        <w:rPr>
          <w:rFonts w:ascii="仿宋_GB2312" w:eastAsia="仿宋_GB2312" w:cs="仿宋_GB2312" w:hAnsi="仿宋_GB2312"/>
          <w:kern w:val="0"/>
          <w:sz w:val="32"/>
          <w:szCs w:val="32"/>
          <w:shd w:val="clear" w:color="auto" w:fill="FFFFFF"/>
          <w:lang w:val="en-US" w:eastAsia="zh-CN"/>
        </w:rPr>
        <w:t>”</w:t>
      </w:r>
      <w:r>
        <w:rPr>
          <w:rFonts w:ascii="仿宋_GB2312" w:eastAsia="仿宋_GB2312" w:cs="仿宋_GB2312" w:hAnsi="仿宋_GB2312" w:hint="eastAsia"/>
          <w:kern w:val="0"/>
          <w:sz w:val="32"/>
          <w:szCs w:val="32"/>
          <w:shd w:val="clear" w:color="auto" w:fill="FFFFFF"/>
          <w:lang w:val="en-US" w:eastAsia="zh-CN"/>
        </w:rPr>
        <w:t>美术书法摄影优秀作品展、</w:t>
      </w:r>
      <w:r>
        <w:rPr>
          <w:rFonts w:ascii="仿宋_GB2312" w:eastAsia="仿宋_GB2312" w:cs="仿宋_GB2312" w:hAnsi="仿宋_GB2312"/>
          <w:kern w:val="0"/>
          <w:sz w:val="32"/>
          <w:szCs w:val="32"/>
          <w:shd w:val="clear" w:color="auto" w:fill="FFFFFF"/>
          <w:lang w:val="en-US" w:eastAsia="zh-CN"/>
        </w:rPr>
        <w:t>“</w:t>
      </w:r>
      <w:r>
        <w:rPr>
          <w:rFonts w:ascii="仿宋_GB2312" w:eastAsia="仿宋_GB2312" w:cs="仿宋_GB2312" w:hAnsi="仿宋_GB2312" w:hint="eastAsia"/>
          <w:kern w:val="0"/>
          <w:sz w:val="32"/>
          <w:szCs w:val="32"/>
          <w:shd w:val="clear" w:color="auto" w:fill="FFFFFF"/>
          <w:lang w:val="en-US" w:eastAsia="zh-CN"/>
        </w:rPr>
        <w:t>传承三线魂</w:t>
      </w:r>
      <w:r>
        <w:rPr>
          <w:rFonts w:ascii="仿宋_GB2312" w:eastAsia="仿宋_GB2312" w:cs="仿宋_GB2312" w:hAnsi="仿宋_GB2312"/>
          <w:kern w:val="0"/>
          <w:sz w:val="32"/>
          <w:szCs w:val="32"/>
          <w:shd w:val="clear" w:color="auto" w:fill="FFFFFF"/>
          <w:lang w:val="en-US" w:eastAsia="zh-CN"/>
        </w:rPr>
        <w:t>.</w:t>
      </w:r>
      <w:r>
        <w:rPr>
          <w:rFonts w:ascii="仿宋_GB2312" w:eastAsia="仿宋_GB2312" w:cs="仿宋_GB2312" w:hAnsi="仿宋_GB2312" w:hint="eastAsia"/>
          <w:kern w:val="0"/>
          <w:sz w:val="32"/>
          <w:szCs w:val="32"/>
          <w:shd w:val="clear" w:color="auto" w:fill="FFFFFF"/>
          <w:lang w:val="en-US" w:eastAsia="zh-CN"/>
        </w:rPr>
        <w:t>献礼二十大</w:t>
      </w:r>
      <w:r>
        <w:rPr>
          <w:rFonts w:ascii="仿宋_GB2312" w:eastAsia="仿宋_GB2312" w:cs="仿宋_GB2312" w:hAnsi="仿宋_GB2312"/>
          <w:kern w:val="0"/>
          <w:sz w:val="32"/>
          <w:szCs w:val="32"/>
          <w:shd w:val="clear" w:color="auto" w:fill="FFFFFF"/>
          <w:lang w:val="en-US" w:eastAsia="zh-CN"/>
        </w:rPr>
        <w:t>”</w:t>
      </w:r>
      <w:r>
        <w:rPr>
          <w:rFonts w:ascii="仿宋_GB2312" w:eastAsia="仿宋_GB2312" w:cs="仿宋_GB2312" w:hAnsi="仿宋_GB2312" w:hint="eastAsia"/>
          <w:kern w:val="0"/>
          <w:sz w:val="32"/>
          <w:szCs w:val="32"/>
          <w:shd w:val="clear" w:color="auto" w:fill="FFFFFF"/>
          <w:lang w:val="en-US" w:eastAsia="zh-CN"/>
        </w:rPr>
        <w:t>征文活动、第二届（</w:t>
      </w:r>
      <w:r>
        <w:rPr>
          <w:rFonts w:ascii="仿宋_GB2312" w:eastAsia="仿宋_GB2312" w:cs="仿宋_GB2312" w:hAnsi="仿宋_GB2312"/>
          <w:kern w:val="0"/>
          <w:sz w:val="32"/>
          <w:szCs w:val="32"/>
          <w:shd w:val="clear" w:color="auto" w:fill="FFFFFF"/>
          <w:lang w:val="en-US" w:eastAsia="zh-CN"/>
        </w:rPr>
        <w:t>2022</w:t>
      </w:r>
      <w:r>
        <w:rPr>
          <w:rFonts w:ascii="仿宋_GB2312" w:eastAsia="仿宋_GB2312" w:cs="仿宋_GB2312" w:hAnsi="仿宋_GB2312" w:hint="eastAsia"/>
          <w:kern w:val="0"/>
          <w:sz w:val="32"/>
          <w:szCs w:val="32"/>
          <w:shd w:val="clear" w:color="auto" w:fill="FFFFFF"/>
          <w:lang w:val="en-US" w:eastAsia="zh-CN"/>
        </w:rPr>
        <w:t>年）攀枝花美术作品双年展、</w:t>
      </w:r>
      <w:r>
        <w:rPr>
          <w:rFonts w:ascii="仿宋_GB2312" w:eastAsia="仿宋_GB2312" w:cs="仿宋_GB2312" w:hAnsi="仿宋_GB2312"/>
          <w:kern w:val="0"/>
          <w:sz w:val="32"/>
          <w:szCs w:val="32"/>
          <w:shd w:val="clear" w:color="auto" w:fill="FFFFFF"/>
          <w:lang w:val="en-US" w:eastAsia="zh-CN"/>
        </w:rPr>
        <w:t>“</w:t>
      </w:r>
      <w:r>
        <w:rPr>
          <w:rFonts w:ascii="仿宋_GB2312" w:eastAsia="仿宋_GB2312" w:cs="仿宋_GB2312" w:hAnsi="仿宋_GB2312" w:hint="eastAsia"/>
          <w:kern w:val="0"/>
          <w:sz w:val="32"/>
          <w:szCs w:val="32"/>
          <w:shd w:val="clear" w:color="auto" w:fill="FFFFFF"/>
          <w:lang w:val="en-US" w:eastAsia="zh-CN"/>
        </w:rPr>
        <w:t>花城靓影</w:t>
      </w:r>
      <w:r>
        <w:rPr>
          <w:rFonts w:ascii="仿宋_GB2312" w:eastAsia="仿宋_GB2312" w:cs="仿宋_GB2312" w:hAnsi="仿宋_GB2312"/>
          <w:kern w:val="0"/>
          <w:sz w:val="32"/>
          <w:szCs w:val="32"/>
          <w:shd w:val="clear" w:color="auto" w:fill="FFFFFF"/>
          <w:lang w:val="en-US" w:eastAsia="zh-CN"/>
        </w:rPr>
        <w:t>”</w:t>
      </w:r>
      <w:r>
        <w:rPr>
          <w:rFonts w:ascii="仿宋_GB2312" w:eastAsia="仿宋_GB2312" w:cs="仿宋_GB2312" w:hAnsi="仿宋_GB2312" w:hint="eastAsia"/>
          <w:kern w:val="0"/>
          <w:sz w:val="32"/>
          <w:szCs w:val="32"/>
          <w:shd w:val="clear" w:color="auto" w:fill="FFFFFF"/>
          <w:lang w:val="en-US" w:eastAsia="zh-CN"/>
        </w:rPr>
        <w:t>攀枝花风光摄影作品展、以文战疫等系列活动，推出一批文学、美术、书法、摄影等原创作品，共创作主题作品</w:t>
      </w:r>
      <w:r>
        <w:rPr>
          <w:rFonts w:ascii="仿宋_GB2312" w:eastAsia="仿宋_GB2312" w:cs="仿宋_GB2312" w:hAnsi="仿宋_GB2312"/>
          <w:kern w:val="0"/>
          <w:sz w:val="32"/>
          <w:szCs w:val="32"/>
          <w:shd w:val="clear" w:color="auto" w:fill="FFFFFF"/>
          <w:lang w:val="en-US" w:eastAsia="zh-CN"/>
        </w:rPr>
        <w:t>2000</w:t>
      </w:r>
      <w:r>
        <w:rPr>
          <w:rFonts w:ascii="仿宋_GB2312" w:eastAsia="仿宋_GB2312" w:cs="仿宋_GB2312" w:hAnsi="仿宋_GB2312" w:hint="eastAsia"/>
          <w:kern w:val="0"/>
          <w:sz w:val="32"/>
          <w:szCs w:val="32"/>
          <w:shd w:val="clear" w:color="auto" w:fill="FFFFFF"/>
          <w:lang w:val="en-US" w:eastAsia="zh-CN"/>
        </w:rPr>
        <w:t>余件，展出、汇编、推送优秀作品</w:t>
      </w:r>
      <w:r>
        <w:rPr>
          <w:rFonts w:ascii="仿宋_GB2312" w:eastAsia="仿宋_GB2312" w:cs="仿宋_GB2312" w:hAnsi="仿宋_GB2312"/>
          <w:kern w:val="0"/>
          <w:sz w:val="32"/>
          <w:szCs w:val="32"/>
          <w:shd w:val="clear" w:color="auto" w:fill="FFFFFF"/>
          <w:lang w:val="en-US" w:eastAsia="zh-CN"/>
        </w:rPr>
        <w:t>200</w:t>
      </w:r>
      <w:r>
        <w:rPr>
          <w:rFonts w:ascii="仿宋_GB2312" w:eastAsia="仿宋_GB2312" w:cs="仿宋_GB2312" w:hAnsi="仿宋_GB2312" w:hint="eastAsia"/>
          <w:kern w:val="0"/>
          <w:sz w:val="32"/>
          <w:szCs w:val="32"/>
          <w:shd w:val="clear" w:color="auto" w:fill="FFFFFF"/>
          <w:lang w:val="en-US" w:eastAsia="zh-CN"/>
        </w:rPr>
        <w:t>余件，艺术再现辉煌发展成就，热情讴歌美好时代。举办小说改稿会、电影短片公益大讲堂、编辑导演摄影讲座、</w:t>
      </w:r>
      <w:r>
        <w:rPr>
          <w:rFonts w:ascii="仿宋_GB2312" w:eastAsia="仿宋_GB2312" w:cs="仿宋_GB2312" w:hAnsi="仿宋_GB2312"/>
          <w:kern w:val="0"/>
          <w:sz w:val="32"/>
          <w:szCs w:val="32"/>
          <w:shd w:val="clear" w:color="auto" w:fill="FFFFFF"/>
          <w:lang w:val="en-US" w:eastAsia="zh-CN"/>
        </w:rPr>
        <w:t>“</w:t>
      </w:r>
      <w:r>
        <w:rPr>
          <w:rFonts w:ascii="仿宋_GB2312" w:eastAsia="仿宋_GB2312" w:cs="仿宋_GB2312" w:hAnsi="仿宋_GB2312" w:hint="eastAsia"/>
          <w:kern w:val="0"/>
          <w:sz w:val="32"/>
          <w:szCs w:val="32"/>
          <w:shd w:val="clear" w:color="auto" w:fill="FFFFFF"/>
          <w:lang w:val="en-US" w:eastAsia="zh-CN"/>
        </w:rPr>
        <w:t>启蜇迎新</w:t>
      </w:r>
      <w:r>
        <w:rPr>
          <w:rFonts w:ascii="仿宋_GB2312" w:eastAsia="仿宋_GB2312" w:cs="仿宋_GB2312" w:hAnsi="仿宋_GB2312"/>
          <w:kern w:val="0"/>
          <w:sz w:val="32"/>
          <w:szCs w:val="32"/>
          <w:shd w:val="clear" w:color="auto" w:fill="FFFFFF"/>
          <w:lang w:val="en-US" w:eastAsia="zh-CN"/>
        </w:rPr>
        <w:t>”</w:t>
      </w:r>
      <w:r>
        <w:rPr>
          <w:rFonts w:ascii="仿宋_GB2312" w:eastAsia="仿宋_GB2312" w:cs="仿宋_GB2312" w:hAnsi="仿宋_GB2312" w:hint="eastAsia"/>
          <w:kern w:val="0"/>
          <w:sz w:val="32"/>
          <w:szCs w:val="32"/>
          <w:shd w:val="clear" w:color="auto" w:fill="FFFFFF"/>
          <w:lang w:val="en-US" w:eastAsia="zh-CN"/>
        </w:rPr>
        <w:t>动漫展、古典舞和广场舞线下公益培训等活动</w:t>
      </w:r>
      <w:r>
        <w:rPr>
          <w:rFonts w:ascii="仿宋_GB2312" w:eastAsia="仿宋_GB2312" w:cs="仿宋_GB2312" w:hAnsi="仿宋_GB2312"/>
          <w:kern w:val="0"/>
          <w:sz w:val="32"/>
          <w:szCs w:val="32"/>
          <w:shd w:val="clear" w:color="auto" w:fill="FFFFFF"/>
          <w:lang w:val="en-US" w:eastAsia="zh-CN"/>
        </w:rPr>
        <w:t>30</w:t>
      </w:r>
      <w:r>
        <w:rPr>
          <w:rFonts w:ascii="仿宋_GB2312" w:eastAsia="仿宋_GB2312" w:cs="仿宋_GB2312" w:hAnsi="仿宋_GB2312" w:hint="eastAsia"/>
          <w:kern w:val="0"/>
          <w:sz w:val="32"/>
          <w:szCs w:val="32"/>
          <w:shd w:val="clear" w:color="auto" w:fill="FFFFFF"/>
          <w:lang w:val="en-US" w:eastAsia="zh-CN"/>
        </w:rPr>
        <w:t>余场。</w:t>
      </w:r>
      <w:r>
        <w:rPr>
          <w:rFonts w:ascii="仿宋_GB2312" w:eastAsia="仿宋_GB2312" w:cs="仿宋_GB2312" w:hAnsi="仿宋_GB2312"/>
          <w:kern w:val="0"/>
          <w:sz w:val="32"/>
          <w:szCs w:val="32"/>
          <w:shd w:val="clear" w:color="auto" w:fill="FFFFFF"/>
          <w:lang w:val="en-US" w:eastAsia="zh-CN"/>
        </w:rPr>
        <w:t>2022</w:t>
      </w:r>
      <w:r>
        <w:rPr>
          <w:rFonts w:ascii="仿宋_GB2312" w:eastAsia="仿宋_GB2312" w:cs="仿宋_GB2312" w:hAnsi="仿宋_GB2312" w:hint="eastAsia"/>
          <w:kern w:val="0"/>
          <w:sz w:val="32"/>
          <w:szCs w:val="32"/>
          <w:shd w:val="clear" w:color="auto" w:fill="FFFFFF"/>
          <w:lang w:val="en-US" w:eastAsia="zh-CN"/>
        </w:rPr>
        <w:t>年，发表、出版文学作品</w:t>
      </w:r>
      <w:r>
        <w:rPr>
          <w:rFonts w:ascii="仿宋_GB2312" w:eastAsia="仿宋_GB2312" w:cs="仿宋_GB2312" w:hAnsi="仿宋_GB2312"/>
          <w:kern w:val="0"/>
          <w:sz w:val="32"/>
          <w:szCs w:val="32"/>
          <w:shd w:val="clear" w:color="auto" w:fill="FFFFFF"/>
          <w:lang w:val="en-US" w:eastAsia="zh-CN"/>
        </w:rPr>
        <w:t>400</w:t>
      </w:r>
      <w:r>
        <w:rPr>
          <w:rFonts w:ascii="仿宋_GB2312" w:eastAsia="仿宋_GB2312" w:cs="仿宋_GB2312" w:hAnsi="仿宋_GB2312" w:hint="eastAsia"/>
          <w:kern w:val="0"/>
          <w:sz w:val="32"/>
          <w:szCs w:val="32"/>
          <w:shd w:val="clear" w:color="auto" w:fill="FFFFFF"/>
          <w:lang w:val="en-US" w:eastAsia="zh-CN"/>
        </w:rPr>
        <w:t>余篇（部），</w:t>
      </w:r>
      <w:r>
        <w:rPr>
          <w:rFonts w:ascii="仿宋_GB2312" w:eastAsia="仿宋_GB2312" w:cs="仿宋_GB2312" w:hAnsi="仿宋_GB2312"/>
          <w:kern w:val="0"/>
          <w:sz w:val="32"/>
          <w:szCs w:val="32"/>
          <w:shd w:val="clear" w:color="auto" w:fill="FFFFFF"/>
          <w:lang w:val="en-US" w:eastAsia="zh-CN"/>
        </w:rPr>
        <w:t>50</w:t>
      </w:r>
      <w:r>
        <w:rPr>
          <w:rFonts w:ascii="仿宋_GB2312" w:eastAsia="仿宋_GB2312" w:cs="仿宋_GB2312" w:hAnsi="仿宋_GB2312" w:hint="eastAsia"/>
          <w:kern w:val="0"/>
          <w:sz w:val="32"/>
          <w:szCs w:val="32"/>
          <w:shd w:val="clear" w:color="auto" w:fill="FFFFFF"/>
          <w:lang w:val="en-US" w:eastAsia="zh-CN"/>
        </w:rPr>
        <w:t>余件艺术作品在省级以上入展、获奖。</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Chars="200" w:firstLine="660"/>
        <w:jc w:val="both"/>
        <w:outlineLvl w:val="9"/>
        <w:rPr>
          <w:rFonts w:ascii="方正楷体_GBK" w:eastAsia="方正楷体_GBK" w:cs="Times New Roman" w:hAnsi="方正楷体_GBK" w:hint="eastAsia"/>
          <w:b/>
          <w:bCs/>
          <w:caps w:val="0"/>
          <w:smallCaps w:val="0"/>
          <w:color w:val="auto"/>
          <w:kern w:val="2"/>
          <w:sz w:val="33"/>
          <w:szCs w:val="33"/>
          <w:vertAlign w:val="baseline"/>
        </w:rPr>
      </w:pPr>
      <w:r>
        <w:rPr>
          <w:rFonts w:ascii="方正楷体_GBK" w:eastAsia="方正楷体_GBK" w:cs="Times New Roman" w:hAnsi="方正楷体_GBK" w:hint="eastAsia"/>
          <w:b/>
          <w:bCs/>
          <w:caps w:val="0"/>
          <w:smallCaps w:val="0"/>
          <w:color w:val="auto"/>
          <w:kern w:val="2"/>
          <w:sz w:val="33"/>
          <w:szCs w:val="33"/>
          <w:vertAlign w:val="baseline"/>
          <w:lang w:val="en-US" w:eastAsia="zh-CN"/>
        </w:rPr>
        <w:t>4.立足事业发展，加快人才培养</w:t>
      </w:r>
    </w:p>
    <w:p>
      <w:pPr>
        <w:widowControl/>
        <w:adjustRightInd w:val="0"/>
        <w:snapToGrid w:val="0"/>
        <w:spacing w:line="560" w:lineRule="exact"/>
        <w:ind w:firstLineChars="200" w:firstLine="640"/>
        <w:contextualSpacing/>
        <w:jc w:val="left"/>
        <w:rPr>
          <w:rFonts w:ascii="仿宋_GB2312" w:eastAsia="仿宋_GB2312" w:cs="仿宋_GB2312" w:hAnsi="仿宋_GB2312"/>
          <w:kern w:val="0"/>
          <w:sz w:val="32"/>
          <w:szCs w:val="32"/>
          <w:shd w:val="clear" w:color="auto" w:fill="FFFFFF"/>
          <w:lang w:val="en-US" w:eastAsia="zh-CN"/>
        </w:rPr>
      </w:pPr>
      <w:r>
        <w:rPr>
          <w:rFonts w:ascii="仿宋_GB2312" w:eastAsia="仿宋_GB2312" w:cs="仿宋_GB2312" w:hAnsi="仿宋_GB2312" w:hint="eastAsia"/>
          <w:kern w:val="0"/>
          <w:sz w:val="32"/>
          <w:szCs w:val="32"/>
          <w:shd w:val="clear" w:color="auto" w:fill="FFFFFF"/>
          <w:lang w:val="en-US" w:eastAsia="zh-CN"/>
        </w:rPr>
        <w:t>积极引进高端后备人才，文学院、书画院招才引智签约</w:t>
      </w:r>
      <w:r>
        <w:rPr>
          <w:rFonts w:ascii="仿宋_GB2312" w:eastAsia="仿宋_GB2312" w:cs="仿宋_GB2312" w:hAnsi="仿宋_GB2312"/>
          <w:kern w:val="0"/>
          <w:sz w:val="32"/>
          <w:szCs w:val="32"/>
          <w:shd w:val="clear" w:color="auto" w:fill="FFFFFF"/>
          <w:lang w:val="en-US" w:eastAsia="zh-CN"/>
        </w:rPr>
        <w:t>3</w:t>
      </w:r>
      <w:r>
        <w:rPr>
          <w:rFonts w:ascii="仿宋_GB2312" w:eastAsia="仿宋_GB2312" w:cs="仿宋_GB2312" w:hAnsi="仿宋_GB2312" w:hint="eastAsia"/>
          <w:kern w:val="0"/>
          <w:sz w:val="32"/>
          <w:szCs w:val="32"/>
          <w:shd w:val="clear" w:color="auto" w:fill="FFFFFF"/>
          <w:lang w:val="en-US" w:eastAsia="zh-CN"/>
        </w:rPr>
        <w:t>名研究生。大力培养骨干人才，邀请</w:t>
      </w:r>
      <w:r>
        <w:rPr>
          <w:rFonts w:ascii="仿宋_GB2312" w:eastAsia="仿宋_GB2312" w:cs="仿宋_GB2312" w:hAnsi="仿宋_GB2312"/>
          <w:kern w:val="0"/>
          <w:sz w:val="32"/>
          <w:szCs w:val="32"/>
          <w:shd w:val="clear" w:color="auto" w:fill="FFFFFF"/>
          <w:lang w:val="en-US" w:eastAsia="zh-CN"/>
        </w:rPr>
        <w:t>30</w:t>
      </w:r>
      <w:r>
        <w:rPr>
          <w:rFonts w:ascii="仿宋_GB2312" w:eastAsia="仿宋_GB2312" w:cs="仿宋_GB2312" w:hAnsi="仿宋_GB2312" w:hint="eastAsia"/>
          <w:kern w:val="0"/>
          <w:sz w:val="32"/>
          <w:szCs w:val="32"/>
          <w:shd w:val="clear" w:color="auto" w:fill="FFFFFF"/>
          <w:lang w:val="en-US" w:eastAsia="zh-CN"/>
        </w:rPr>
        <w:t>余名文艺名家莅攀指导，举办采风、笔会、研讨会</w:t>
      </w:r>
      <w:r>
        <w:rPr>
          <w:rFonts w:ascii="仿宋_GB2312" w:eastAsia="仿宋_GB2312" w:cs="仿宋_GB2312" w:hAnsi="仿宋_GB2312"/>
          <w:kern w:val="0"/>
          <w:sz w:val="32"/>
          <w:szCs w:val="32"/>
          <w:shd w:val="clear" w:color="auto" w:fill="FFFFFF"/>
          <w:lang w:val="en-US" w:eastAsia="zh-CN"/>
        </w:rPr>
        <w:t>10</w:t>
      </w:r>
      <w:r>
        <w:rPr>
          <w:rFonts w:ascii="仿宋_GB2312" w:eastAsia="仿宋_GB2312" w:cs="仿宋_GB2312" w:hAnsi="仿宋_GB2312" w:hint="eastAsia"/>
          <w:kern w:val="0"/>
          <w:sz w:val="32"/>
          <w:szCs w:val="32"/>
          <w:shd w:val="clear" w:color="auto" w:fill="FFFFFF"/>
          <w:lang w:val="en-US" w:eastAsia="zh-CN"/>
        </w:rPr>
        <w:t>场，培训创作骨干</w:t>
      </w:r>
      <w:r>
        <w:rPr>
          <w:rFonts w:ascii="仿宋_GB2312" w:eastAsia="仿宋_GB2312" w:cs="仿宋_GB2312" w:hAnsi="仿宋_GB2312"/>
          <w:kern w:val="0"/>
          <w:sz w:val="32"/>
          <w:szCs w:val="32"/>
          <w:shd w:val="clear" w:color="auto" w:fill="FFFFFF"/>
          <w:lang w:val="en-US" w:eastAsia="zh-CN"/>
        </w:rPr>
        <w:t>500</w:t>
      </w:r>
      <w:r>
        <w:rPr>
          <w:rFonts w:ascii="仿宋_GB2312" w:eastAsia="仿宋_GB2312" w:cs="仿宋_GB2312" w:hAnsi="仿宋_GB2312" w:hint="eastAsia"/>
          <w:kern w:val="0"/>
          <w:sz w:val="32"/>
          <w:szCs w:val="32"/>
          <w:shd w:val="clear" w:color="auto" w:fill="FFFFFF"/>
          <w:lang w:val="en-US" w:eastAsia="zh-CN"/>
        </w:rPr>
        <w:t>余人次。</w:t>
      </w:r>
      <w:r>
        <w:rPr>
          <w:rFonts w:ascii="仿宋_GB2312" w:eastAsia="仿宋_GB2312" w:cs="仿宋_GB2312" w:hAnsi="仿宋_GB2312"/>
          <w:kern w:val="0"/>
          <w:sz w:val="32"/>
          <w:szCs w:val="32"/>
          <w:shd w:val="clear" w:color="auto" w:fill="FFFFFF"/>
          <w:lang w:val="en-US" w:eastAsia="zh-CN"/>
        </w:rPr>
        <w:t>2022</w:t>
      </w:r>
      <w:r>
        <w:rPr>
          <w:rFonts w:ascii="仿宋_GB2312" w:eastAsia="仿宋_GB2312" w:cs="仿宋_GB2312" w:hAnsi="仿宋_GB2312" w:hint="eastAsia"/>
          <w:kern w:val="0"/>
          <w:sz w:val="32"/>
          <w:szCs w:val="32"/>
          <w:shd w:val="clear" w:color="auto" w:fill="FFFFFF"/>
          <w:lang w:val="en-US" w:eastAsia="zh-CN"/>
        </w:rPr>
        <w:t>年，全市新增国家级会员</w:t>
      </w:r>
      <w:r>
        <w:rPr>
          <w:rFonts w:ascii="仿宋_GB2312" w:eastAsia="仿宋_GB2312" w:cs="仿宋_GB2312" w:hAnsi="仿宋_GB2312"/>
          <w:kern w:val="0"/>
          <w:sz w:val="32"/>
          <w:szCs w:val="32"/>
          <w:shd w:val="clear" w:color="auto" w:fill="FFFFFF"/>
          <w:lang w:val="en-US" w:eastAsia="zh-CN"/>
        </w:rPr>
        <w:t>6</w:t>
      </w:r>
      <w:r>
        <w:rPr>
          <w:rFonts w:ascii="仿宋_GB2312" w:eastAsia="仿宋_GB2312" w:cs="仿宋_GB2312" w:hAnsi="仿宋_GB2312" w:hint="eastAsia"/>
          <w:kern w:val="0"/>
          <w:sz w:val="32"/>
          <w:szCs w:val="32"/>
          <w:shd w:val="clear" w:color="auto" w:fill="FFFFFF"/>
          <w:lang w:val="en-US" w:eastAsia="zh-CN"/>
        </w:rPr>
        <w:t>人、省级会员</w:t>
      </w:r>
      <w:r>
        <w:rPr>
          <w:rFonts w:ascii="仿宋_GB2312" w:eastAsia="仿宋_GB2312" w:cs="仿宋_GB2312" w:hAnsi="仿宋_GB2312"/>
          <w:kern w:val="0"/>
          <w:sz w:val="32"/>
          <w:szCs w:val="32"/>
          <w:shd w:val="clear" w:color="auto" w:fill="FFFFFF"/>
          <w:lang w:val="en-US" w:eastAsia="zh-CN"/>
        </w:rPr>
        <w:t>88</w:t>
      </w:r>
      <w:r>
        <w:rPr>
          <w:rFonts w:ascii="仿宋_GB2312" w:eastAsia="仿宋_GB2312" w:cs="仿宋_GB2312" w:hAnsi="仿宋_GB2312" w:hint="eastAsia"/>
          <w:kern w:val="0"/>
          <w:sz w:val="32"/>
          <w:szCs w:val="32"/>
          <w:shd w:val="clear" w:color="auto" w:fill="FFFFFF"/>
          <w:lang w:val="en-US" w:eastAsia="zh-CN"/>
        </w:rPr>
        <w:t>人、市级会员</w:t>
      </w:r>
      <w:r>
        <w:rPr>
          <w:rFonts w:ascii="仿宋_GB2312" w:eastAsia="仿宋_GB2312" w:cs="仿宋_GB2312" w:hAnsi="仿宋_GB2312"/>
          <w:kern w:val="0"/>
          <w:sz w:val="32"/>
          <w:szCs w:val="32"/>
          <w:shd w:val="clear" w:color="auto" w:fill="FFFFFF"/>
          <w:lang w:val="en-US" w:eastAsia="zh-CN"/>
        </w:rPr>
        <w:t>112</w:t>
      </w:r>
      <w:r>
        <w:rPr>
          <w:rFonts w:ascii="仿宋_GB2312" w:eastAsia="仿宋_GB2312" w:cs="仿宋_GB2312" w:hAnsi="仿宋_GB2312" w:hint="eastAsia"/>
          <w:kern w:val="0"/>
          <w:sz w:val="32"/>
          <w:szCs w:val="32"/>
          <w:shd w:val="clear" w:color="auto" w:fill="FFFFFF"/>
          <w:lang w:val="en-US" w:eastAsia="zh-CN"/>
        </w:rPr>
        <w:t>人。目前，全市共有国家级会员</w:t>
      </w:r>
      <w:r>
        <w:rPr>
          <w:rFonts w:ascii="仿宋_GB2312" w:eastAsia="仿宋_GB2312" w:cs="仿宋_GB2312" w:hAnsi="仿宋_GB2312"/>
          <w:kern w:val="0"/>
          <w:sz w:val="32"/>
          <w:szCs w:val="32"/>
          <w:shd w:val="clear" w:color="auto" w:fill="FFFFFF"/>
          <w:lang w:val="en-US" w:eastAsia="zh-CN"/>
        </w:rPr>
        <w:t>76</w:t>
      </w:r>
      <w:r>
        <w:rPr>
          <w:rFonts w:ascii="仿宋_GB2312" w:eastAsia="仿宋_GB2312" w:cs="仿宋_GB2312" w:hAnsi="仿宋_GB2312" w:hint="eastAsia"/>
          <w:kern w:val="0"/>
          <w:sz w:val="32"/>
          <w:szCs w:val="32"/>
          <w:shd w:val="clear" w:color="auto" w:fill="FFFFFF"/>
          <w:lang w:val="en-US" w:eastAsia="zh-CN"/>
        </w:rPr>
        <w:t>人、省级会员</w:t>
      </w:r>
      <w:r>
        <w:rPr>
          <w:rFonts w:ascii="仿宋_GB2312" w:eastAsia="仿宋_GB2312" w:cs="仿宋_GB2312" w:hAnsi="仿宋_GB2312"/>
          <w:kern w:val="0"/>
          <w:sz w:val="32"/>
          <w:szCs w:val="32"/>
          <w:shd w:val="clear" w:color="auto" w:fill="FFFFFF"/>
          <w:lang w:val="en-US" w:eastAsia="zh-CN"/>
        </w:rPr>
        <w:t>517</w:t>
      </w:r>
      <w:r>
        <w:rPr>
          <w:rFonts w:ascii="仿宋_GB2312" w:eastAsia="仿宋_GB2312" w:cs="仿宋_GB2312" w:hAnsi="仿宋_GB2312" w:hint="eastAsia"/>
          <w:kern w:val="0"/>
          <w:sz w:val="32"/>
          <w:szCs w:val="32"/>
          <w:shd w:val="clear" w:color="auto" w:fill="FFFFFF"/>
          <w:lang w:val="en-US" w:eastAsia="zh-CN"/>
        </w:rPr>
        <w:t>人、市级会员</w:t>
      </w:r>
      <w:r>
        <w:rPr>
          <w:rFonts w:ascii="仿宋_GB2312" w:eastAsia="仿宋_GB2312" w:cs="仿宋_GB2312" w:hAnsi="仿宋_GB2312"/>
          <w:kern w:val="0"/>
          <w:sz w:val="32"/>
          <w:szCs w:val="32"/>
          <w:shd w:val="clear" w:color="auto" w:fill="FFFFFF"/>
          <w:lang w:val="en-US" w:eastAsia="zh-CN"/>
        </w:rPr>
        <w:t>1830</w:t>
      </w:r>
      <w:r>
        <w:rPr>
          <w:rFonts w:ascii="仿宋_GB2312" w:eastAsia="仿宋_GB2312" w:cs="仿宋_GB2312" w:hAnsi="仿宋_GB2312" w:hint="eastAsia"/>
          <w:kern w:val="0"/>
          <w:sz w:val="32"/>
          <w:szCs w:val="32"/>
          <w:shd w:val="clear" w:color="auto" w:fill="FFFFFF"/>
          <w:lang w:val="en-US" w:eastAsia="zh-CN"/>
        </w:rPr>
        <w:t>人，</w:t>
      </w:r>
      <w:r>
        <w:rPr>
          <w:rFonts w:ascii="仿宋_GB2312" w:eastAsia="仿宋_GB2312" w:cs="仿宋_GB2312" w:hAnsi="仿宋_GB2312"/>
          <w:kern w:val="0"/>
          <w:sz w:val="32"/>
          <w:szCs w:val="32"/>
          <w:shd w:val="clear" w:color="auto" w:fill="FFFFFF"/>
          <w:lang w:val="en-US" w:eastAsia="zh-CN"/>
        </w:rPr>
        <w:t>1</w:t>
      </w:r>
      <w:r>
        <w:rPr>
          <w:rFonts w:ascii="仿宋_GB2312" w:eastAsia="仿宋_GB2312" w:cs="仿宋_GB2312" w:hAnsi="仿宋_GB2312" w:hint="eastAsia"/>
          <w:kern w:val="0"/>
          <w:sz w:val="32"/>
          <w:szCs w:val="32"/>
          <w:shd w:val="clear" w:color="auto" w:fill="FFFFFF"/>
          <w:lang w:val="en-US" w:eastAsia="zh-CN"/>
        </w:rPr>
        <w:t>人当选</w:t>
      </w:r>
      <w:r>
        <w:rPr>
          <w:rFonts w:ascii="仿宋_GB2312" w:eastAsia="仿宋_GB2312" w:cs="仿宋_GB2312" w:hAnsi="仿宋_GB2312"/>
          <w:kern w:val="0"/>
          <w:sz w:val="32"/>
          <w:szCs w:val="32"/>
          <w:shd w:val="clear" w:color="auto" w:fill="FFFFFF"/>
          <w:lang w:val="en-US" w:eastAsia="zh-CN"/>
        </w:rPr>
        <w:t>“</w:t>
      </w:r>
      <w:r>
        <w:rPr>
          <w:rFonts w:ascii="仿宋_GB2312" w:eastAsia="仿宋_GB2312" w:cs="仿宋_GB2312" w:hAnsi="仿宋_GB2312" w:hint="eastAsia"/>
          <w:kern w:val="0"/>
          <w:sz w:val="32"/>
          <w:szCs w:val="32"/>
          <w:shd w:val="clear" w:color="auto" w:fill="FFFFFF"/>
          <w:lang w:val="en-US" w:eastAsia="zh-CN"/>
        </w:rPr>
        <w:t>四川工匠</w:t>
      </w:r>
      <w:r>
        <w:rPr>
          <w:rFonts w:ascii="仿宋_GB2312" w:eastAsia="仿宋_GB2312" w:cs="仿宋_GB2312" w:hAnsi="仿宋_GB2312"/>
          <w:kern w:val="0"/>
          <w:sz w:val="32"/>
          <w:szCs w:val="32"/>
          <w:shd w:val="clear" w:color="auto" w:fill="FFFFFF"/>
          <w:lang w:val="en-US" w:eastAsia="zh-CN"/>
        </w:rPr>
        <w:t>”</w:t>
      </w:r>
      <w:r>
        <w:rPr>
          <w:rFonts w:ascii="仿宋_GB2312" w:eastAsia="仿宋_GB2312" w:cs="仿宋_GB2312" w:hAnsi="仿宋_GB2312" w:hint="eastAsia"/>
          <w:kern w:val="0"/>
          <w:sz w:val="32"/>
          <w:szCs w:val="32"/>
          <w:shd w:val="clear" w:color="auto" w:fill="FFFFFF"/>
          <w:lang w:val="en-US" w:eastAsia="zh-CN"/>
        </w:rPr>
        <w:t>，</w:t>
      </w:r>
      <w:r>
        <w:rPr>
          <w:rFonts w:ascii="仿宋_GB2312" w:eastAsia="仿宋_GB2312" w:cs="仿宋_GB2312" w:hAnsi="仿宋_GB2312"/>
          <w:kern w:val="0"/>
          <w:sz w:val="32"/>
          <w:szCs w:val="32"/>
          <w:shd w:val="clear" w:color="auto" w:fill="FFFFFF"/>
          <w:lang w:val="en-US" w:eastAsia="zh-CN"/>
        </w:rPr>
        <w:t>4</w:t>
      </w:r>
      <w:r>
        <w:rPr>
          <w:rFonts w:ascii="仿宋_GB2312" w:eastAsia="仿宋_GB2312" w:cs="仿宋_GB2312" w:hAnsi="仿宋_GB2312" w:hint="eastAsia"/>
          <w:kern w:val="0"/>
          <w:sz w:val="32"/>
          <w:szCs w:val="32"/>
          <w:shd w:val="clear" w:color="auto" w:fill="FFFFFF"/>
          <w:lang w:val="en-US" w:eastAsia="zh-CN"/>
        </w:rPr>
        <w:t>人当选攀枝花青鹏人才，</w:t>
      </w:r>
      <w:r>
        <w:rPr>
          <w:rFonts w:ascii="仿宋_GB2312" w:eastAsia="仿宋_GB2312" w:cs="仿宋_GB2312" w:hAnsi="仿宋_GB2312"/>
          <w:kern w:val="0"/>
          <w:sz w:val="32"/>
          <w:szCs w:val="32"/>
          <w:shd w:val="clear" w:color="auto" w:fill="FFFFFF"/>
          <w:lang w:val="en-US" w:eastAsia="zh-CN"/>
        </w:rPr>
        <w:t>3</w:t>
      </w:r>
      <w:r>
        <w:rPr>
          <w:rFonts w:ascii="仿宋_GB2312" w:eastAsia="仿宋_GB2312" w:cs="仿宋_GB2312" w:hAnsi="仿宋_GB2312" w:hint="eastAsia"/>
          <w:kern w:val="0"/>
          <w:sz w:val="32"/>
          <w:szCs w:val="32"/>
          <w:shd w:val="clear" w:color="auto" w:fill="FFFFFF"/>
          <w:lang w:val="en-US" w:eastAsia="zh-CN"/>
        </w:rPr>
        <w:t>人被评为学术和技术带头人。</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Chars="200" w:firstLine="660"/>
        <w:jc w:val="both"/>
        <w:outlineLvl w:val="9"/>
        <w:rPr>
          <w:rFonts w:ascii="方正楷体_GBK" w:eastAsia="方正楷体_GBK" w:cs="Times New Roman" w:hAnsi="方正楷体_GBK" w:hint="eastAsia"/>
          <w:b/>
          <w:bCs/>
          <w:caps w:val="0"/>
          <w:smallCaps w:val="0"/>
          <w:color w:val="auto"/>
          <w:kern w:val="2"/>
          <w:sz w:val="33"/>
          <w:szCs w:val="33"/>
          <w:vertAlign w:val="baseline"/>
        </w:rPr>
      </w:pPr>
      <w:r>
        <w:rPr>
          <w:rFonts w:ascii="方正楷体_GBK" w:eastAsia="方正楷体_GBK" w:cs="Times New Roman" w:hAnsi="方正楷体_GBK" w:hint="eastAsia"/>
          <w:b/>
          <w:bCs/>
          <w:caps w:val="0"/>
          <w:smallCaps w:val="0"/>
          <w:color w:val="auto"/>
          <w:kern w:val="2"/>
          <w:sz w:val="33"/>
          <w:szCs w:val="33"/>
          <w:vertAlign w:val="baseline"/>
          <w:lang w:val="en-US" w:eastAsia="zh-CN"/>
        </w:rPr>
        <w:t>5.顺应群众期盼，推进文艺惠民</w:t>
      </w:r>
    </w:p>
    <w:p>
      <w:pPr>
        <w:widowControl/>
        <w:adjustRightInd w:val="0"/>
        <w:snapToGrid w:val="0"/>
        <w:spacing w:line="560" w:lineRule="exact"/>
        <w:ind w:firstLineChars="200" w:firstLine="640"/>
        <w:contextualSpacing/>
        <w:jc w:val="left"/>
        <w:rPr>
          <w:rFonts w:ascii="仿宋_GB2312" w:eastAsia="仿宋_GB2312" w:cs="仿宋_GB2312" w:hAnsi="仿宋_GB2312" w:hint="eastAsia"/>
          <w:kern w:val="0"/>
          <w:sz w:val="32"/>
          <w:szCs w:val="32"/>
          <w:shd w:val="clear" w:color="auto" w:fill="FFFFFF"/>
          <w:lang w:val="zh-CN" w:eastAsia="zh-CN"/>
        </w:rPr>
      </w:pPr>
      <w:r>
        <w:rPr>
          <w:rFonts w:ascii="仿宋_GB2312" w:eastAsia="仿宋_GB2312" w:cs="仿宋_GB2312" w:hAnsi="仿宋_GB2312" w:hint="eastAsia"/>
          <w:kern w:val="0"/>
          <w:sz w:val="32"/>
          <w:szCs w:val="32"/>
          <w:shd w:val="clear" w:color="auto" w:fill="FFFFFF"/>
          <w:lang w:val="en-US" w:eastAsia="zh-CN"/>
        </w:rPr>
        <w:t>组织开展文化进万家、戏曲进乡村、戏曲进校园活动</w:t>
      </w:r>
      <w:r>
        <w:rPr>
          <w:rFonts w:ascii="仿宋_GB2312" w:eastAsia="仿宋_GB2312" w:cs="仿宋_GB2312" w:hAnsi="仿宋_GB2312"/>
          <w:kern w:val="0"/>
          <w:sz w:val="32"/>
          <w:szCs w:val="32"/>
          <w:shd w:val="clear" w:color="auto" w:fill="FFFFFF"/>
          <w:lang w:val="en-US" w:eastAsia="zh-CN"/>
        </w:rPr>
        <w:t>28</w:t>
      </w:r>
      <w:r>
        <w:rPr>
          <w:rFonts w:ascii="仿宋_GB2312" w:eastAsia="仿宋_GB2312" w:cs="仿宋_GB2312" w:hAnsi="仿宋_GB2312" w:hint="eastAsia"/>
          <w:kern w:val="0"/>
          <w:sz w:val="32"/>
          <w:szCs w:val="32"/>
          <w:shd w:val="clear" w:color="auto" w:fill="FFFFFF"/>
          <w:lang w:val="en-US" w:eastAsia="zh-CN"/>
        </w:rPr>
        <w:t>场。在米易县撒莲镇、青山村、盐边县渔门镇、仁和区平地镇等地开展</w:t>
      </w:r>
      <w:r>
        <w:rPr>
          <w:rFonts w:ascii="仿宋_GB2312" w:eastAsia="仿宋_GB2312" w:cs="仿宋_GB2312" w:hAnsi="仿宋_GB2312"/>
          <w:kern w:val="0"/>
          <w:sz w:val="32"/>
          <w:szCs w:val="32"/>
          <w:shd w:val="clear" w:color="auto" w:fill="FFFFFF"/>
          <w:lang w:val="en-US" w:eastAsia="zh-CN"/>
        </w:rPr>
        <w:t>“</w:t>
      </w:r>
      <w:r>
        <w:rPr>
          <w:rFonts w:ascii="仿宋_GB2312" w:eastAsia="仿宋_GB2312" w:cs="仿宋_GB2312" w:hAnsi="仿宋_GB2312" w:hint="eastAsia"/>
          <w:kern w:val="0"/>
          <w:sz w:val="32"/>
          <w:szCs w:val="32"/>
          <w:shd w:val="clear" w:color="auto" w:fill="FFFFFF"/>
          <w:lang w:val="en-US" w:eastAsia="zh-CN"/>
        </w:rPr>
        <w:t>我们的中国梦 文化进万家</w:t>
      </w:r>
      <w:r>
        <w:rPr>
          <w:rFonts w:ascii="仿宋_GB2312" w:eastAsia="仿宋_GB2312" w:cs="仿宋_GB2312" w:hAnsi="仿宋_GB2312"/>
          <w:kern w:val="0"/>
          <w:sz w:val="32"/>
          <w:szCs w:val="32"/>
          <w:shd w:val="clear" w:color="auto" w:fill="FFFFFF"/>
          <w:lang w:val="en-US" w:eastAsia="zh-CN"/>
        </w:rPr>
        <w:t>”</w:t>
      </w:r>
      <w:r>
        <w:rPr>
          <w:rFonts w:ascii="仿宋_GB2312" w:eastAsia="仿宋_GB2312" w:cs="仿宋_GB2312" w:hAnsi="仿宋_GB2312" w:hint="eastAsia"/>
          <w:kern w:val="0"/>
          <w:sz w:val="32"/>
          <w:szCs w:val="32"/>
          <w:shd w:val="clear" w:color="auto" w:fill="FFFFFF"/>
          <w:lang w:val="en-US" w:eastAsia="zh-CN"/>
        </w:rPr>
        <w:t>文艺惠民活动，为乡亲拍摄、赠送全家福</w:t>
      </w:r>
      <w:r>
        <w:rPr>
          <w:rFonts w:ascii="仿宋_GB2312" w:eastAsia="仿宋_GB2312" w:cs="仿宋_GB2312" w:hAnsi="仿宋_GB2312"/>
          <w:kern w:val="0"/>
          <w:sz w:val="32"/>
          <w:szCs w:val="32"/>
          <w:shd w:val="clear" w:color="auto" w:fill="FFFFFF"/>
          <w:lang w:val="en-US" w:eastAsia="zh-CN"/>
        </w:rPr>
        <w:t>100</w:t>
      </w:r>
      <w:r>
        <w:rPr>
          <w:rFonts w:ascii="仿宋_GB2312" w:eastAsia="仿宋_GB2312" w:cs="仿宋_GB2312" w:hAnsi="仿宋_GB2312" w:hint="eastAsia"/>
          <w:kern w:val="0"/>
          <w:sz w:val="32"/>
          <w:szCs w:val="32"/>
          <w:shd w:val="clear" w:color="auto" w:fill="FFFFFF"/>
          <w:lang w:val="en-US" w:eastAsia="zh-CN"/>
        </w:rPr>
        <w:t>余张，送春联、福字、国画</w:t>
      </w:r>
      <w:r>
        <w:rPr>
          <w:rFonts w:ascii="仿宋_GB2312" w:eastAsia="仿宋_GB2312" w:cs="仿宋_GB2312" w:hAnsi="仿宋_GB2312"/>
          <w:kern w:val="0"/>
          <w:sz w:val="32"/>
          <w:szCs w:val="32"/>
          <w:shd w:val="clear" w:color="auto" w:fill="FFFFFF"/>
          <w:lang w:val="en-US" w:eastAsia="zh-CN"/>
        </w:rPr>
        <w:t>320</w:t>
      </w:r>
      <w:r>
        <w:rPr>
          <w:rFonts w:ascii="仿宋_GB2312" w:eastAsia="仿宋_GB2312" w:cs="仿宋_GB2312" w:hAnsi="仿宋_GB2312" w:hint="eastAsia"/>
          <w:kern w:val="0"/>
          <w:sz w:val="32"/>
          <w:szCs w:val="32"/>
          <w:shd w:val="clear" w:color="auto" w:fill="FFFFFF"/>
          <w:lang w:val="en-US" w:eastAsia="zh-CN"/>
        </w:rPr>
        <w:t>余幅。助力乡村振兴，在米易县撒莲镇绘制了</w:t>
      </w:r>
      <w:r>
        <w:rPr>
          <w:rFonts w:ascii="仿宋_GB2312" w:eastAsia="仿宋_GB2312" w:cs="仿宋_GB2312" w:hAnsi="仿宋_GB2312"/>
          <w:kern w:val="0"/>
          <w:sz w:val="32"/>
          <w:szCs w:val="32"/>
          <w:shd w:val="clear" w:color="auto" w:fill="FFFFFF"/>
          <w:lang w:val="en-US" w:eastAsia="zh-CN"/>
        </w:rPr>
        <w:t>400</w:t>
      </w:r>
      <w:r>
        <w:rPr>
          <w:rFonts w:ascii="仿宋_GB2312" w:eastAsia="仿宋_GB2312" w:cs="仿宋_GB2312" w:hAnsi="仿宋_GB2312" w:hint="eastAsia"/>
          <w:kern w:val="0"/>
          <w:sz w:val="32"/>
          <w:szCs w:val="32"/>
          <w:shd w:val="clear" w:color="auto" w:fill="FFFFFF"/>
          <w:lang w:val="en-US" w:eastAsia="zh-CN"/>
        </w:rPr>
        <w:t>平方米的大型壁画，生动地展现了撒莲优秀传统手工技艺。围绕</w:t>
      </w:r>
      <w:r>
        <w:rPr>
          <w:rFonts w:ascii="仿宋_GB2312" w:eastAsia="仿宋_GB2312" w:cs="仿宋_GB2312" w:hAnsi="仿宋_GB2312"/>
          <w:kern w:val="0"/>
          <w:sz w:val="32"/>
          <w:szCs w:val="32"/>
          <w:shd w:val="clear" w:color="auto" w:fill="FFFFFF"/>
          <w:lang w:val="en-US" w:eastAsia="zh-CN"/>
        </w:rPr>
        <w:t>“</w:t>
      </w:r>
      <w:r>
        <w:rPr>
          <w:rFonts w:ascii="仿宋_GB2312" w:eastAsia="仿宋_GB2312" w:cs="仿宋_GB2312" w:hAnsi="仿宋_GB2312" w:hint="eastAsia"/>
          <w:kern w:val="0"/>
          <w:sz w:val="32"/>
          <w:szCs w:val="32"/>
          <w:shd w:val="clear" w:color="auto" w:fill="FFFFFF"/>
          <w:lang w:val="en-US" w:eastAsia="zh-CN"/>
        </w:rPr>
        <w:t>花城打造</w:t>
      </w:r>
      <w:r>
        <w:rPr>
          <w:rFonts w:ascii="仿宋_GB2312" w:eastAsia="仿宋_GB2312" w:cs="仿宋_GB2312" w:hAnsi="仿宋_GB2312"/>
          <w:kern w:val="0"/>
          <w:sz w:val="32"/>
          <w:szCs w:val="32"/>
          <w:shd w:val="clear" w:color="auto" w:fill="FFFFFF"/>
          <w:lang w:val="en-US" w:eastAsia="zh-CN"/>
        </w:rPr>
        <w:t>”</w:t>
      </w:r>
      <w:r>
        <w:rPr>
          <w:rFonts w:ascii="仿宋_GB2312" w:eastAsia="仿宋_GB2312" w:cs="仿宋_GB2312" w:hAnsi="仿宋_GB2312" w:hint="eastAsia"/>
          <w:kern w:val="0"/>
          <w:sz w:val="32"/>
          <w:szCs w:val="32"/>
          <w:shd w:val="clear" w:color="auto" w:fill="FFFFFF"/>
          <w:lang w:val="en-US" w:eastAsia="zh-CN"/>
        </w:rPr>
        <w:t>，在四十中小外挡墙绘制</w:t>
      </w:r>
      <w:r>
        <w:rPr>
          <w:rFonts w:ascii="仿宋_GB2312" w:eastAsia="仿宋_GB2312" w:cs="仿宋_GB2312" w:hAnsi="仿宋_GB2312"/>
          <w:kern w:val="0"/>
          <w:sz w:val="32"/>
          <w:szCs w:val="32"/>
          <w:shd w:val="clear" w:color="auto" w:fill="FFFFFF"/>
          <w:lang w:val="en-US" w:eastAsia="zh-CN"/>
        </w:rPr>
        <w:t>500</w:t>
      </w:r>
      <w:r>
        <w:rPr>
          <w:rFonts w:ascii="仿宋_GB2312" w:eastAsia="仿宋_GB2312" w:cs="仿宋_GB2312" w:hAnsi="仿宋_GB2312" w:hint="eastAsia"/>
          <w:kern w:val="0"/>
          <w:sz w:val="32"/>
          <w:szCs w:val="32"/>
          <w:shd w:val="clear" w:color="auto" w:fill="FFFFFF"/>
          <w:lang w:val="en-US" w:eastAsia="zh-CN"/>
        </w:rPr>
        <w:t>余平方米的巨型涂鸦墙，为城市增添了文艺亮色。实施脱贫村对口帮扶</w:t>
      </w:r>
      <w:r>
        <w:rPr>
          <w:rFonts w:ascii="仿宋_GB2312" w:eastAsia="仿宋_GB2312" w:cs="仿宋_GB2312" w:hAnsi="仿宋_GB2312"/>
          <w:kern w:val="0"/>
          <w:sz w:val="32"/>
          <w:szCs w:val="32"/>
          <w:shd w:val="clear" w:color="auto" w:fill="FFFFFF"/>
          <w:lang w:val="en-US" w:eastAsia="zh-CN"/>
        </w:rPr>
        <w:t>“</w:t>
      </w:r>
      <w:r>
        <w:rPr>
          <w:rFonts w:ascii="仿宋_GB2312" w:eastAsia="仿宋_GB2312" w:cs="仿宋_GB2312" w:hAnsi="仿宋_GB2312" w:hint="eastAsia"/>
          <w:kern w:val="0"/>
          <w:sz w:val="32"/>
          <w:szCs w:val="32"/>
          <w:shd w:val="clear" w:color="auto" w:fill="FFFFFF"/>
          <w:lang w:val="en-US" w:eastAsia="zh-CN"/>
        </w:rPr>
        <w:t>文艺援藏</w:t>
      </w:r>
      <w:r>
        <w:rPr>
          <w:rFonts w:ascii="仿宋_GB2312" w:eastAsia="仿宋_GB2312" w:cs="仿宋_GB2312" w:hAnsi="仿宋_GB2312"/>
          <w:kern w:val="0"/>
          <w:sz w:val="32"/>
          <w:szCs w:val="32"/>
          <w:shd w:val="clear" w:color="auto" w:fill="FFFFFF"/>
          <w:lang w:val="en-US" w:eastAsia="zh-CN"/>
        </w:rPr>
        <w:t>”</w:t>
      </w:r>
      <w:r>
        <w:rPr>
          <w:rFonts w:ascii="仿宋_GB2312" w:eastAsia="仿宋_GB2312" w:cs="仿宋_GB2312" w:hAnsi="仿宋_GB2312" w:hint="eastAsia"/>
          <w:kern w:val="0"/>
          <w:sz w:val="32"/>
          <w:szCs w:val="32"/>
          <w:shd w:val="clear" w:color="auto" w:fill="FFFFFF"/>
          <w:lang w:val="en-US" w:eastAsia="zh-CN"/>
        </w:rPr>
        <w:t>，举办</w:t>
      </w:r>
      <w:r>
        <w:rPr>
          <w:rFonts w:ascii="仿宋_GB2312" w:eastAsia="仿宋_GB2312" w:cs="仿宋_GB2312" w:hAnsi="仿宋_GB2312"/>
          <w:kern w:val="0"/>
          <w:sz w:val="32"/>
          <w:szCs w:val="32"/>
          <w:shd w:val="clear" w:color="auto" w:fill="FFFFFF"/>
          <w:lang w:val="en-US" w:eastAsia="zh-CN"/>
        </w:rPr>
        <w:t>“</w:t>
      </w:r>
      <w:r>
        <w:rPr>
          <w:rFonts w:ascii="仿宋_GB2312" w:eastAsia="仿宋_GB2312" w:cs="仿宋_GB2312" w:hAnsi="仿宋_GB2312" w:hint="eastAsia"/>
          <w:kern w:val="0"/>
          <w:sz w:val="32"/>
          <w:szCs w:val="32"/>
          <w:shd w:val="clear" w:color="auto" w:fill="FFFFFF"/>
          <w:lang w:val="en-US" w:eastAsia="zh-CN"/>
        </w:rPr>
        <w:t>攀木情深</w:t>
      </w:r>
      <w:r>
        <w:rPr>
          <w:rFonts w:ascii="仿宋_GB2312" w:eastAsia="仿宋_GB2312" w:cs="仿宋_GB2312" w:hAnsi="仿宋_GB2312"/>
          <w:kern w:val="0"/>
          <w:sz w:val="32"/>
          <w:szCs w:val="32"/>
          <w:shd w:val="clear" w:color="auto" w:fill="FFFFFF"/>
          <w:lang w:val="en-US" w:eastAsia="zh-CN"/>
        </w:rPr>
        <w:t>”</w:t>
      </w:r>
      <w:r>
        <w:rPr>
          <w:rFonts w:ascii="仿宋_GB2312" w:eastAsia="仿宋_GB2312" w:cs="仿宋_GB2312" w:hAnsi="仿宋_GB2312" w:hint="eastAsia"/>
          <w:kern w:val="0"/>
          <w:sz w:val="32"/>
          <w:szCs w:val="32"/>
          <w:shd w:val="clear" w:color="auto" w:fill="FFFFFF"/>
          <w:lang w:val="en-US" w:eastAsia="zh-CN"/>
        </w:rPr>
        <w:t>美术书法摄影作品联展。</w:t>
      </w:r>
    </w:p>
    <w:p>
      <w:pPr>
        <w:widowControl/>
        <w:adjustRightInd w:val="0"/>
        <w:snapToGrid w:val="0"/>
        <w:spacing w:line="560" w:lineRule="exact"/>
        <w:ind w:firstLineChars="200" w:firstLine="640"/>
        <w:contextualSpacing/>
        <w:jc w:val="left"/>
        <w:rPr>
          <w:rFonts w:ascii="楷体_GB2312" w:eastAsia="楷体_GB2312" w:cs="楷体_GB2312" w:hAnsi="楷体_GB2312" w:hint="eastAsia"/>
          <w:b/>
          <w:bCs/>
          <w:kern w:val="0"/>
          <w:sz w:val="32"/>
          <w:szCs w:val="32"/>
          <w:shd w:val="clear" w:color="auto" w:fill="FFFFFF"/>
          <w:lang w:val="zh-CN"/>
        </w:rPr>
      </w:pPr>
      <w:r>
        <w:rPr>
          <w:rFonts w:ascii="楷体_GB2312" w:eastAsia="楷体_GB2312" w:cs="楷体_GB2312" w:hAnsi="楷体_GB2312" w:hint="eastAsia"/>
          <w:b/>
          <w:bCs/>
          <w:kern w:val="0"/>
          <w:sz w:val="32"/>
          <w:szCs w:val="32"/>
          <w:shd w:val="clear" w:color="auto" w:fill="FFFFFF"/>
          <w:lang w:val="zh-CN"/>
        </w:rPr>
        <w:t>（四）部门整体支出绩效目标。</w:t>
      </w:r>
    </w:p>
    <w:p>
      <w:pPr>
        <w:pStyle w:val="15"/>
        <w:ind w:left="0" w:firstLineChars="200" w:firstLine="660"/>
        <w:rPr>
          <w:rFonts w:ascii="仿宋_GB2312" w:eastAsia="仿宋_GB2312" w:cs="仿宋_GB2312" w:hAnsi="仿宋_GB2312" w:hint="eastAsia"/>
          <w:kern w:val="0"/>
          <w:sz w:val="32"/>
          <w:szCs w:val="32"/>
          <w:shd w:val="clear" w:color="auto" w:fill="FFFFFF"/>
          <w:lang w:val="zh-CN" w:eastAsia="zh-CN" w:bidi="ar-SA"/>
        </w:rPr>
      </w:pPr>
      <w:r>
        <w:rPr>
          <w:rFonts w:ascii="方正仿宋_GBK" w:eastAsia="方正仿宋_GBK" w:cs="方正仿宋_GBK" w:hAnsi="方正仿宋_GBK" w:hint="eastAsia"/>
          <w:b w:val="0"/>
          <w:bCs w:val="0"/>
          <w:caps w:val="0"/>
          <w:smallCaps w:val="0"/>
          <w:color w:val="auto"/>
          <w:kern w:val="2"/>
          <w:sz w:val="33"/>
          <w:szCs w:val="33"/>
          <w:vertAlign w:val="baseline"/>
          <w:lang w:val="en-US" w:eastAsia="zh-CN"/>
        </w:rPr>
        <w:t>1.</w:t>
      </w:r>
      <w:r>
        <w:rPr>
          <w:rFonts w:ascii="仿宋_GB2312" w:eastAsia="仿宋_GB2312" w:cs="仿宋_GB2312" w:hAnsi="仿宋_GB2312" w:hint="eastAsia"/>
          <w:kern w:val="0"/>
          <w:sz w:val="32"/>
          <w:szCs w:val="32"/>
          <w:shd w:val="clear" w:color="auto" w:fill="FFFFFF"/>
          <w:lang w:val="zh-CN" w:eastAsia="zh-CN" w:bidi="ar-SA"/>
        </w:rPr>
        <w:t>保障目标：（1）保障市文联机关、攀枝花文学院、攀枝花市书画3个机构运转；（2）保障2022年度2</w:t>
      </w:r>
      <w:r>
        <w:rPr>
          <w:rFonts w:ascii="仿宋_GB2312" w:eastAsia="仿宋_GB2312" w:cs="仿宋_GB2312" w:hAnsi="仿宋_GB2312" w:hint="eastAsia"/>
          <w:kern w:val="0"/>
          <w:sz w:val="32"/>
          <w:szCs w:val="32"/>
          <w:shd w:val="clear" w:color="auto" w:fill="FFFFFF"/>
          <w:lang w:val="en-US" w:eastAsia="zh-CN" w:bidi="ar-SA"/>
        </w:rPr>
        <w:t>2</w:t>
      </w:r>
      <w:r>
        <w:rPr>
          <w:rFonts w:ascii="仿宋_GB2312" w:eastAsia="仿宋_GB2312" w:cs="仿宋_GB2312" w:hAnsi="仿宋_GB2312" w:hint="eastAsia"/>
          <w:kern w:val="0"/>
          <w:sz w:val="32"/>
          <w:szCs w:val="32"/>
          <w:shd w:val="clear" w:color="auto" w:fill="FFFFFF"/>
          <w:lang w:val="zh-CN" w:eastAsia="zh-CN" w:bidi="ar-SA"/>
        </w:rPr>
        <w:t>名在职人员、</w:t>
      </w:r>
      <w:r>
        <w:rPr>
          <w:rFonts w:ascii="仿宋_GB2312" w:eastAsia="仿宋_GB2312" w:cs="仿宋_GB2312" w:hAnsi="仿宋_GB2312" w:hint="eastAsia"/>
          <w:kern w:val="0"/>
          <w:sz w:val="32"/>
          <w:szCs w:val="32"/>
          <w:shd w:val="clear" w:color="auto" w:fill="FFFFFF"/>
          <w:lang w:val="en-US" w:eastAsia="zh-CN" w:bidi="ar-SA"/>
        </w:rPr>
        <w:t>19</w:t>
      </w:r>
      <w:r>
        <w:rPr>
          <w:rFonts w:ascii="仿宋_GB2312" w:eastAsia="仿宋_GB2312" w:cs="仿宋_GB2312" w:hAnsi="仿宋_GB2312" w:hint="eastAsia"/>
          <w:kern w:val="0"/>
          <w:sz w:val="32"/>
          <w:szCs w:val="32"/>
          <w:shd w:val="clear" w:color="auto" w:fill="FFFFFF"/>
          <w:lang w:val="zh-CN" w:eastAsia="zh-CN" w:bidi="ar-SA"/>
        </w:rPr>
        <w:t>名离退休人员的人员经费。</w:t>
      </w:r>
    </w:p>
    <w:p>
      <w:pPr>
        <w:pStyle w:val="15"/>
        <w:rPr>
          <w:rFonts w:ascii="仿宋_GB2312" w:eastAsia="仿宋_GB2312" w:cs="仿宋_GB2312" w:hAnsi="仿宋_GB2312"/>
          <w:kern w:val="0"/>
          <w:sz w:val="32"/>
          <w:szCs w:val="32"/>
          <w:shd w:val="clear" w:color="auto" w:fill="FFFFFF"/>
          <w:lang w:val="en-US" w:eastAsia="zh-CN" w:bidi="ar-SA"/>
        </w:rPr>
      </w:pPr>
      <w:r>
        <w:rPr>
          <w:rFonts w:ascii="方正仿宋_GBK" w:eastAsia="方正仿宋_GBK" w:cs="方正仿宋_GBK" w:hAnsi="方正仿宋_GBK" w:hint="eastAsia"/>
          <w:b w:val="0"/>
          <w:bCs w:val="0"/>
          <w:caps w:val="0"/>
          <w:smallCaps w:val="0"/>
          <w:color w:val="auto"/>
          <w:kern w:val="2"/>
          <w:sz w:val="33"/>
          <w:szCs w:val="33"/>
          <w:vertAlign w:val="baseline"/>
          <w:lang w:val="zh-CN" w:eastAsia="zh-CN"/>
        </w:rPr>
        <w:t xml:space="preserve"> </w:t>
      </w:r>
      <w:r>
        <w:rPr>
          <w:rFonts w:ascii="方正仿宋_GBK" w:eastAsia="方正仿宋_GBK" w:cs="方正仿宋_GBK" w:hAnsi="方正仿宋_GBK" w:hint="eastAsia"/>
          <w:b w:val="0"/>
          <w:bCs w:val="0"/>
          <w:caps w:val="0"/>
          <w:smallCaps w:val="0"/>
          <w:color w:val="auto"/>
          <w:kern w:val="2"/>
          <w:sz w:val="33"/>
          <w:szCs w:val="33"/>
          <w:vertAlign w:val="baseline"/>
          <w:lang w:val="en-US" w:eastAsia="zh-CN"/>
        </w:rPr>
        <w:t xml:space="preserve">  </w:t>
      </w:r>
      <w:r>
        <w:rPr>
          <w:rFonts w:ascii="方正仿宋_GBK" w:eastAsia="方正仿宋_GBK" w:cs="方正仿宋_GBK" w:hAnsi="方正仿宋_GBK" w:hint="eastAsia"/>
          <w:b w:val="0"/>
          <w:bCs w:val="0"/>
          <w:caps w:val="0"/>
          <w:smallCaps w:val="0"/>
          <w:color w:val="auto"/>
          <w:kern w:val="2"/>
          <w:sz w:val="33"/>
          <w:szCs w:val="33"/>
          <w:vertAlign w:val="baseline"/>
          <w:lang w:val="zh-CN" w:eastAsia="zh-CN"/>
        </w:rPr>
        <w:t>2.</w:t>
      </w:r>
      <w:r>
        <w:rPr>
          <w:rFonts w:ascii="仿宋_GB2312" w:eastAsia="仿宋_GB2312" w:cs="仿宋_GB2312" w:hAnsi="仿宋_GB2312" w:hint="eastAsia"/>
          <w:kern w:val="0"/>
          <w:sz w:val="32"/>
          <w:szCs w:val="32"/>
          <w:shd w:val="clear" w:color="auto" w:fill="FFFFFF"/>
          <w:lang w:val="zh-CN" w:eastAsia="zh-CN" w:bidi="ar-SA"/>
        </w:rPr>
        <w:t>业务目标：（1）发挥党委、政府联系文艺界的桥梁和纽带作用，履行对文艺界的团结引领、联络协调、服务管理、自律维权职能； （2）加强对文艺界的规范管理，加强市级文艺家协会建设管理，加强文艺人才培养，组织文艺创作、研究、交流，开展文艺惠民活动； （3）服务攀枝花市经济社会发展； （4）抓好文艺领域党建、党风廉政建设、意识形态工作、思想政治工作，维护社会安全稳定； （5）完成市委、市政府交办的工作任务。</w:t>
      </w:r>
    </w:p>
    <w:p>
      <w:pPr>
        <w:widowControl/>
        <w:adjustRightInd w:val="0"/>
        <w:snapToGrid w:val="0"/>
        <w:spacing w:line="560" w:lineRule="exact"/>
        <w:ind w:firstLineChars="200" w:firstLine="640"/>
        <w:contextualSpacing/>
        <w:jc w:val="left"/>
        <w:rPr>
          <w:rFonts w:ascii="黑体" w:eastAsia="黑体" w:cs="宋体" w:hAnsi="宋体"/>
          <w:kern w:val="0"/>
          <w:sz w:val="32"/>
          <w:szCs w:val="32"/>
          <w:shd w:val="clear" w:color="auto" w:fill="FFFFFF"/>
        </w:rPr>
      </w:pPr>
      <w:r>
        <w:rPr>
          <w:rFonts w:ascii="黑体" w:eastAsia="黑体" w:cs="宋体" w:hAnsi="宋体" w:hint="eastAsia"/>
          <w:kern w:val="0"/>
          <w:sz w:val="32"/>
          <w:szCs w:val="32"/>
          <w:shd w:val="clear" w:color="auto" w:fill="FFFFFF"/>
        </w:rPr>
        <w:t>二、部门资金收支情况</w:t>
      </w:r>
    </w:p>
    <w:p>
      <w:pPr>
        <w:widowControl/>
        <w:adjustRightInd w:val="0"/>
        <w:snapToGrid w:val="0"/>
        <w:spacing w:line="560" w:lineRule="exact"/>
        <w:ind w:firstLineChars="200" w:firstLine="640"/>
        <w:contextualSpacing/>
        <w:jc w:val="left"/>
        <w:rPr>
          <w:rFonts w:ascii="楷体_GB2312" w:eastAsia="楷体_GB2312" w:cs="楷体_GB2312" w:hAnsi="楷体_GB2312"/>
          <w:b/>
          <w:bCs/>
          <w:kern w:val="0"/>
          <w:sz w:val="32"/>
          <w:szCs w:val="32"/>
          <w:shd w:val="clear" w:color="auto" w:fill="FFFFFF"/>
          <w:lang w:val="zh-CN"/>
        </w:rPr>
      </w:pPr>
      <w:r>
        <w:rPr>
          <w:rFonts w:ascii="楷体_GB2312" w:eastAsia="楷体_GB2312" w:cs="楷体_GB2312" w:hAnsi="楷体_GB2312" w:hint="eastAsia"/>
          <w:b/>
          <w:bCs/>
          <w:kern w:val="0"/>
          <w:sz w:val="32"/>
          <w:szCs w:val="32"/>
          <w:shd w:val="clear" w:color="auto" w:fill="FFFFFF"/>
          <w:lang w:val="zh-CN"/>
        </w:rPr>
        <w:t>（一）部门总体收支情况。</w:t>
      </w:r>
    </w:p>
    <w:p>
      <w:pPr>
        <w:widowControl/>
        <w:adjustRightInd w:val="0"/>
        <w:snapToGrid w:val="0"/>
        <w:spacing w:line="560" w:lineRule="exact"/>
        <w:ind w:firstLineChars="200" w:firstLine="640"/>
        <w:contextualSpacing/>
        <w:jc w:val="left"/>
        <w:rPr>
          <w:rFonts w:ascii="仿宋_GB2312" w:eastAsia="仿宋_GB2312" w:cs="仿宋_GB2312" w:hAnsi="仿宋_GB2312"/>
          <w:kern w:val="0"/>
          <w:sz w:val="32"/>
          <w:szCs w:val="32"/>
          <w:shd w:val="clear" w:color="auto" w:fill="FFFFFF"/>
          <w:lang w:val="en-US" w:eastAsia="zh-CN"/>
        </w:rPr>
      </w:pPr>
      <w:r>
        <w:rPr>
          <w:rFonts w:ascii="仿宋_GB2312" w:eastAsia="仿宋_GB2312" w:cs="仿宋_GB2312" w:hAnsi="仿宋_GB2312" w:hint="eastAsia"/>
          <w:kern w:val="0"/>
          <w:sz w:val="32"/>
          <w:szCs w:val="32"/>
          <w:shd w:val="clear" w:color="auto" w:fill="FFFFFF"/>
        </w:rPr>
        <w:t>1.部门总体收入情况</w:t>
      </w:r>
      <w:r>
        <w:rPr>
          <w:rFonts w:ascii="仿宋_GB2312" w:eastAsia="仿宋_GB2312" w:cs="仿宋_GB2312" w:hAnsi="仿宋_GB2312" w:hint="eastAsia"/>
          <w:kern w:val="0"/>
          <w:sz w:val="32"/>
          <w:szCs w:val="32"/>
          <w:shd w:val="clear" w:color="auto" w:fill="FFFFFF"/>
          <w:lang w:eastAsia="zh-CN"/>
        </w:rPr>
        <w:t>。</w:t>
      </w:r>
      <w:r>
        <w:rPr>
          <w:rFonts w:ascii="仿宋_GB2312" w:eastAsia="仿宋_GB2312" w:cs="仿宋_GB2312" w:hAnsi="仿宋_GB2312" w:hint="eastAsia"/>
          <w:kern w:val="0"/>
          <w:sz w:val="32"/>
          <w:szCs w:val="32"/>
          <w:shd w:val="clear" w:color="auto" w:fill="FFFFFF"/>
          <w:lang w:val="en-US" w:eastAsia="zh-CN"/>
        </w:rPr>
        <w:t>2022年本部门收入决算总计583.69万元，其中：当年一般公共财政拨款收入562.80万元，年初结转结余20.89万元。</w:t>
      </w:r>
    </w:p>
    <w:p>
      <w:pPr>
        <w:widowControl/>
        <w:adjustRightInd w:val="0"/>
        <w:snapToGrid w:val="0"/>
        <w:spacing w:line="560" w:lineRule="exact"/>
        <w:ind w:firstLineChars="200" w:firstLine="640"/>
        <w:contextualSpacing/>
        <w:jc w:val="left"/>
        <w:rPr>
          <w:rFonts w:ascii="仿宋_GB2312" w:eastAsia="仿宋_GB2312" w:cs="仿宋_GB2312" w:hAnsi="仿宋_GB2312"/>
          <w:kern w:val="0"/>
          <w:sz w:val="32"/>
          <w:szCs w:val="32"/>
          <w:shd w:val="clear" w:color="auto" w:fill="FFFFFF"/>
          <w:lang w:val="en-US" w:eastAsia="zh-CN"/>
        </w:rPr>
      </w:pPr>
      <w:r>
        <w:rPr>
          <w:rFonts w:ascii="仿宋_GB2312" w:eastAsia="仿宋_GB2312" w:cs="仿宋_GB2312" w:hAnsi="仿宋_GB2312" w:hint="eastAsia"/>
          <w:kern w:val="0"/>
          <w:sz w:val="32"/>
          <w:szCs w:val="32"/>
          <w:shd w:val="clear" w:color="auto" w:fill="FFFFFF"/>
        </w:rPr>
        <w:t>2.部门总体支出情况</w:t>
      </w:r>
      <w:r>
        <w:rPr>
          <w:rFonts w:ascii="仿宋_GB2312" w:eastAsia="仿宋_GB2312" w:cs="仿宋_GB2312" w:hAnsi="仿宋_GB2312" w:hint="eastAsia"/>
          <w:kern w:val="0"/>
          <w:sz w:val="32"/>
          <w:szCs w:val="32"/>
          <w:shd w:val="clear" w:color="auto" w:fill="FFFFFF"/>
          <w:lang w:eastAsia="zh-CN"/>
        </w:rPr>
        <w:t>。</w:t>
      </w:r>
      <w:r>
        <w:rPr>
          <w:rFonts w:ascii="仿宋_GB2312" w:eastAsia="仿宋_GB2312" w:cs="仿宋_GB2312" w:hAnsi="仿宋_GB2312" w:hint="eastAsia"/>
          <w:kern w:val="0"/>
          <w:sz w:val="32"/>
          <w:szCs w:val="32"/>
          <w:shd w:val="clear" w:color="auto" w:fill="FFFFFF"/>
          <w:lang w:val="en-US" w:eastAsia="zh-CN"/>
        </w:rPr>
        <w:t>2022年本部门支出决算数为583.69万元。</w:t>
      </w:r>
    </w:p>
    <w:p>
      <w:pPr>
        <w:widowControl/>
        <w:adjustRightInd w:val="0"/>
        <w:snapToGrid w:val="0"/>
        <w:spacing w:line="560" w:lineRule="exact"/>
        <w:ind w:firstLineChars="200" w:firstLine="640"/>
        <w:contextualSpacing/>
        <w:jc w:val="left"/>
        <w:rPr>
          <w:rFonts w:ascii="仿宋_GB2312" w:eastAsia="仿宋_GB2312" w:cs="仿宋_GB2312" w:hAnsi="仿宋_GB2312" w:hint="eastAsia"/>
          <w:kern w:val="0"/>
          <w:sz w:val="32"/>
          <w:szCs w:val="32"/>
          <w:shd w:val="clear" w:color="auto" w:fill="FFFFFF"/>
          <w:lang w:eastAsia="zh-CN"/>
        </w:rPr>
      </w:pPr>
      <w:r>
        <w:rPr>
          <w:rFonts w:ascii="仿宋_GB2312" w:eastAsia="仿宋_GB2312" w:cs="仿宋_GB2312" w:hAnsi="仿宋_GB2312" w:hint="eastAsia"/>
          <w:kern w:val="0"/>
          <w:sz w:val="32"/>
          <w:szCs w:val="32"/>
          <w:shd w:val="clear" w:color="auto" w:fill="FFFFFF"/>
        </w:rPr>
        <w:t>3.部门总体结转结余情况</w:t>
      </w:r>
      <w:r>
        <w:rPr>
          <w:rFonts w:ascii="仿宋_GB2312" w:eastAsia="仿宋_GB2312" w:cs="仿宋_GB2312" w:hAnsi="仿宋_GB2312" w:hint="eastAsia"/>
          <w:kern w:val="0"/>
          <w:sz w:val="32"/>
          <w:szCs w:val="32"/>
          <w:shd w:val="clear" w:color="auto" w:fill="FFFFFF"/>
          <w:lang w:eastAsia="zh-CN"/>
        </w:rPr>
        <w:t>。本年度本部门无结转结余。</w:t>
      </w:r>
    </w:p>
    <w:p>
      <w:pPr>
        <w:widowControl/>
        <w:adjustRightInd w:val="0"/>
        <w:snapToGrid w:val="0"/>
        <w:spacing w:line="560" w:lineRule="exact"/>
        <w:ind w:firstLineChars="200" w:firstLine="640"/>
        <w:contextualSpacing/>
        <w:jc w:val="left"/>
        <w:rPr>
          <w:rFonts w:ascii="楷体_GB2312" w:eastAsia="楷体_GB2312" w:cs="楷体_GB2312" w:hAnsi="楷体_GB2312"/>
          <w:b/>
          <w:bCs/>
          <w:kern w:val="0"/>
          <w:sz w:val="32"/>
          <w:szCs w:val="32"/>
          <w:shd w:val="clear" w:color="auto" w:fill="FFFFFF"/>
          <w:lang w:val="zh-CN"/>
        </w:rPr>
      </w:pPr>
      <w:r>
        <w:rPr>
          <w:rFonts w:ascii="楷体_GB2312" w:eastAsia="楷体_GB2312" w:cs="楷体_GB2312" w:hAnsi="楷体_GB2312" w:hint="eastAsia"/>
          <w:b/>
          <w:bCs/>
          <w:kern w:val="0"/>
          <w:sz w:val="32"/>
          <w:szCs w:val="32"/>
          <w:shd w:val="clear" w:color="auto" w:fill="FFFFFF"/>
          <w:lang w:val="zh-CN"/>
        </w:rPr>
        <w:t>（二）部门财政拨款收支情况。</w:t>
      </w:r>
    </w:p>
    <w:p>
      <w:pPr>
        <w:widowControl/>
        <w:adjustRightInd w:val="0"/>
        <w:snapToGrid w:val="0"/>
        <w:spacing w:line="560" w:lineRule="exact"/>
        <w:ind w:firstLineChars="200" w:firstLine="640"/>
        <w:contextualSpacing/>
        <w:jc w:val="left"/>
        <w:rPr>
          <w:rFonts w:ascii="仿宋_GB2312" w:eastAsia="仿宋_GB2312" w:cs="仿宋_GB2312" w:hAnsi="仿宋_GB2312" w:hint="eastAsia"/>
          <w:kern w:val="0"/>
          <w:sz w:val="32"/>
          <w:szCs w:val="32"/>
          <w:shd w:val="clear" w:color="auto" w:fill="FFFFFF"/>
          <w:lang w:eastAsia="zh-CN"/>
        </w:rPr>
      </w:pPr>
      <w:r>
        <w:rPr>
          <w:rFonts w:ascii="仿宋_GB2312" w:eastAsia="仿宋_GB2312" w:cs="仿宋_GB2312" w:hAnsi="仿宋_GB2312" w:hint="eastAsia"/>
          <w:kern w:val="0"/>
          <w:sz w:val="32"/>
          <w:szCs w:val="32"/>
          <w:shd w:val="clear" w:color="auto" w:fill="FFFFFF"/>
        </w:rPr>
        <w:t>1.部门财政拨款收入情况</w:t>
      </w:r>
      <w:r>
        <w:rPr>
          <w:rFonts w:ascii="仿宋_GB2312" w:eastAsia="仿宋_GB2312" w:cs="仿宋_GB2312" w:hAnsi="仿宋_GB2312" w:hint="eastAsia"/>
          <w:kern w:val="0"/>
          <w:sz w:val="32"/>
          <w:szCs w:val="32"/>
          <w:shd w:val="clear" w:color="auto" w:fill="FFFFFF"/>
          <w:lang w:eastAsia="zh-CN"/>
        </w:rPr>
        <w:t>。本部门</w:t>
      </w:r>
      <w:r>
        <w:rPr>
          <w:rFonts w:ascii="仿宋_GB2312" w:eastAsia="仿宋_GB2312" w:cs="仿宋_GB2312" w:hAnsi="仿宋_GB2312" w:hint="eastAsia"/>
          <w:kern w:val="0"/>
          <w:sz w:val="32"/>
          <w:szCs w:val="32"/>
          <w:shd w:val="clear" w:color="auto" w:fill="FFFFFF"/>
          <w:lang w:val="en-US" w:eastAsia="zh-CN"/>
        </w:rPr>
        <w:t>2022年一般公共财政拨款收入562.80万元。</w:t>
      </w:r>
    </w:p>
    <w:p>
      <w:pPr>
        <w:widowControl/>
        <w:adjustRightInd w:val="0"/>
        <w:snapToGrid w:val="0"/>
        <w:spacing w:line="560" w:lineRule="exact"/>
        <w:ind w:firstLineChars="200" w:firstLine="640"/>
        <w:contextualSpacing/>
        <w:jc w:val="left"/>
        <w:rPr>
          <w:rFonts w:ascii="仿宋_GB2312" w:eastAsia="仿宋_GB2312" w:cs="仿宋_GB2312" w:hAnsi="仿宋_GB2312"/>
          <w:kern w:val="0"/>
          <w:sz w:val="32"/>
          <w:szCs w:val="32"/>
          <w:shd w:val="clear" w:color="auto" w:fill="FFFFFF"/>
          <w:lang w:val="en-US" w:eastAsia="zh-CN"/>
        </w:rPr>
      </w:pPr>
      <w:r>
        <w:rPr>
          <w:rFonts w:ascii="仿宋_GB2312" w:eastAsia="仿宋_GB2312" w:cs="仿宋_GB2312" w:hAnsi="仿宋_GB2312" w:hint="eastAsia"/>
          <w:kern w:val="0"/>
          <w:sz w:val="32"/>
          <w:szCs w:val="32"/>
          <w:shd w:val="clear" w:color="auto" w:fill="FFFFFF"/>
        </w:rPr>
        <w:t>2.部门财政拨款支出情况</w:t>
      </w:r>
      <w:r>
        <w:rPr>
          <w:rFonts w:ascii="仿宋_GB2312" w:eastAsia="仿宋_GB2312" w:cs="仿宋_GB2312" w:hAnsi="仿宋_GB2312" w:hint="eastAsia"/>
          <w:kern w:val="0"/>
          <w:sz w:val="32"/>
          <w:szCs w:val="32"/>
          <w:shd w:val="clear" w:color="auto" w:fill="FFFFFF"/>
          <w:lang w:eastAsia="zh-CN"/>
        </w:rPr>
        <w:t>。</w:t>
      </w:r>
      <w:r>
        <w:rPr>
          <w:rFonts w:ascii="仿宋_GB2312" w:eastAsia="仿宋_GB2312" w:cs="仿宋_GB2312" w:hAnsi="仿宋_GB2312" w:hint="eastAsia"/>
          <w:kern w:val="0"/>
          <w:sz w:val="32"/>
          <w:szCs w:val="32"/>
          <w:shd w:val="clear" w:color="auto" w:fill="FFFFFF"/>
          <w:lang w:val="en-US" w:eastAsia="zh-CN"/>
        </w:rPr>
        <w:t>2022年本部门财政拨款支出583.69万元，其中，按功能分类一般公共服务支出424.55万元，社会保障和就业支出117.81万元，住房保障支出41.33万元。</w:t>
      </w:r>
    </w:p>
    <w:p>
      <w:pPr>
        <w:widowControl/>
        <w:adjustRightInd w:val="0"/>
        <w:snapToGrid w:val="0"/>
        <w:spacing w:line="560" w:lineRule="exact"/>
        <w:ind w:firstLineChars="200" w:firstLine="640"/>
        <w:contextualSpacing/>
        <w:jc w:val="left"/>
        <w:rPr>
          <w:rFonts w:ascii="仿宋_GB2312" w:eastAsia="仿宋_GB2312" w:cs="仿宋_GB2312" w:hAnsi="仿宋_GB2312" w:hint="eastAsia"/>
          <w:kern w:val="0"/>
          <w:sz w:val="32"/>
          <w:szCs w:val="32"/>
          <w:shd w:val="clear" w:color="auto" w:fill="FFFFFF"/>
          <w:lang w:eastAsia="zh-CN"/>
        </w:rPr>
      </w:pPr>
      <w:r>
        <w:rPr>
          <w:rFonts w:ascii="仿宋_GB2312" w:eastAsia="仿宋_GB2312" w:cs="仿宋_GB2312" w:hAnsi="仿宋_GB2312" w:hint="eastAsia"/>
          <w:kern w:val="0"/>
          <w:sz w:val="32"/>
          <w:szCs w:val="32"/>
          <w:shd w:val="clear" w:color="auto" w:fill="FFFFFF"/>
        </w:rPr>
        <w:t>3.部门财政拨款结转结余情况</w:t>
      </w:r>
      <w:r>
        <w:rPr>
          <w:rFonts w:ascii="仿宋_GB2312" w:eastAsia="仿宋_GB2312" w:cs="仿宋_GB2312" w:hAnsi="仿宋_GB2312" w:hint="eastAsia"/>
          <w:kern w:val="0"/>
          <w:sz w:val="32"/>
          <w:szCs w:val="32"/>
          <w:shd w:val="clear" w:color="auto" w:fill="FFFFFF"/>
          <w:lang w:eastAsia="zh-CN"/>
        </w:rPr>
        <w:t>。本年度本部门无财政拨款结转结余。</w:t>
      </w:r>
    </w:p>
    <w:p>
      <w:pPr>
        <w:widowControl/>
        <w:adjustRightInd w:val="0"/>
        <w:snapToGrid w:val="0"/>
        <w:spacing w:line="560" w:lineRule="exact"/>
        <w:ind w:firstLineChars="200" w:firstLine="640"/>
        <w:contextualSpacing/>
        <w:jc w:val="left"/>
        <w:rPr>
          <w:rFonts w:ascii="黑体" w:eastAsia="黑体" w:cs="宋体" w:hAnsi="宋体"/>
          <w:kern w:val="0"/>
          <w:sz w:val="32"/>
          <w:szCs w:val="32"/>
          <w:shd w:val="clear" w:color="auto" w:fill="FFFFFF"/>
        </w:rPr>
      </w:pPr>
      <w:r>
        <w:rPr>
          <w:rFonts w:ascii="黑体" w:eastAsia="黑体" w:cs="宋体" w:hAnsi="宋体" w:hint="eastAsia"/>
          <w:kern w:val="0"/>
          <w:sz w:val="32"/>
          <w:szCs w:val="32"/>
          <w:shd w:val="clear" w:color="auto" w:fill="FFFFFF"/>
        </w:rPr>
        <w:t>三、部门整体绩效分析</w:t>
      </w:r>
    </w:p>
    <w:p>
      <w:pPr>
        <w:widowControl/>
        <w:adjustRightInd w:val="0"/>
        <w:snapToGrid w:val="0"/>
        <w:spacing w:line="560" w:lineRule="exact"/>
        <w:ind w:firstLineChars="200" w:firstLine="640"/>
        <w:contextualSpacing/>
        <w:jc w:val="left"/>
        <w:rPr>
          <w:rFonts w:ascii="仿宋_GB2312" w:eastAsia="仿宋_GB2312" w:cs="仿宋_GB2312" w:hAnsi="仿宋_GB2312"/>
          <w:kern w:val="0"/>
          <w:sz w:val="32"/>
          <w:szCs w:val="32"/>
          <w:shd w:val="clear" w:color="auto" w:fill="FFFFFF"/>
          <w:lang w:val="zh-CN"/>
        </w:rPr>
      </w:pPr>
      <w:r>
        <w:rPr>
          <w:rFonts w:ascii="楷体_GB2312" w:eastAsia="楷体_GB2312" w:cs="楷体_GB2312" w:hAnsi="楷体_GB2312" w:hint="eastAsia"/>
          <w:b/>
          <w:bCs/>
          <w:kern w:val="0"/>
          <w:sz w:val="32"/>
          <w:szCs w:val="32"/>
          <w:shd w:val="clear" w:color="auto" w:fill="FFFFFF"/>
          <w:lang w:val="zh-CN"/>
        </w:rPr>
        <w:t>（一）部门预算项目绩效分析。</w:t>
      </w:r>
    </w:p>
    <w:p>
      <w:pPr>
        <w:widowControl/>
        <w:adjustRightInd w:val="0"/>
        <w:snapToGrid w:val="0"/>
        <w:spacing w:line="560" w:lineRule="exact"/>
        <w:ind w:firstLineChars="200" w:firstLine="640"/>
        <w:contextualSpacing/>
        <w:jc w:val="left"/>
        <w:rPr>
          <w:rFonts w:ascii="仿宋_GB2312" w:eastAsia="仿宋_GB2312" w:cs="仿宋_GB2312" w:hAnsi="仿宋_GB2312"/>
          <w:kern w:val="0"/>
          <w:sz w:val="32"/>
          <w:szCs w:val="32"/>
          <w:shd w:val="clear" w:color="auto" w:fill="FFFFFF"/>
        </w:rPr>
      </w:pPr>
      <w:r>
        <w:rPr>
          <w:rFonts w:ascii="仿宋_GB2312" w:eastAsia="仿宋_GB2312" w:cs="仿宋_GB2312" w:hAnsi="仿宋_GB2312" w:hint="eastAsia"/>
          <w:kern w:val="0"/>
          <w:sz w:val="32"/>
          <w:szCs w:val="32"/>
          <w:shd w:val="clear" w:color="auto" w:fill="FFFFFF"/>
        </w:rPr>
        <w:t>1.人员类项目绩效分析</w:t>
      </w:r>
    </w:p>
    <w:p>
      <w:pPr>
        <w:pStyle w:val="15"/>
        <w:rPr>
          <w:rFonts w:ascii="仿宋_GB2312" w:eastAsia="仿宋_GB2312" w:cs="仿宋_GB2312" w:hAnsi="仿宋_GB2312"/>
          <w:kern w:val="0"/>
          <w:sz w:val="32"/>
          <w:szCs w:val="32"/>
          <w:shd w:val="clear" w:color="auto" w:fill="FFFFFF"/>
          <w:lang w:val="en-US" w:eastAsia="zh-CN" w:bidi="ar-SA"/>
        </w:rPr>
      </w:pPr>
      <w:r>
        <w:rPr>
          <w:rFonts w:ascii="仿宋_GB2312" w:eastAsia="仿宋_GB2312" w:cs="仿宋_GB2312" w:hAnsi="仿宋_GB2312" w:hint="eastAsia"/>
          <w:color w:val="4F81BD"/>
          <w:kern w:val="0"/>
          <w:sz w:val="32"/>
          <w:szCs w:val="32"/>
          <w:shd w:val="clear" w:color="auto" w:fill="FFFFFF"/>
          <w14:textFill>
            <w14:solidFill>
              <w14:srgbClr w14:val="4F81BD"/>
            </w14:solidFill>
          </w14:textFill>
          <w:lang w:val="en-US" w:eastAsia="zh-CN"/>
        </w:rPr>
        <w:t xml:space="preserve">    </w:t>
      </w:r>
      <w:r>
        <w:rPr>
          <w:rFonts w:ascii="仿宋_GB2312" w:eastAsia="仿宋_GB2312" w:cs="仿宋_GB2312" w:hAnsi="仿宋_GB2312" w:hint="eastAsia"/>
          <w:kern w:val="0"/>
          <w:sz w:val="32"/>
          <w:szCs w:val="32"/>
          <w:shd w:val="clear" w:color="auto" w:fill="FFFFFF"/>
          <w:lang w:val="en-US" w:eastAsia="zh-CN" w:bidi="ar-SA"/>
        </w:rPr>
        <w:t>本部门2022年初设定了供养人员绩效目标，保障工资、奖金、公积金、基本养老保险、基本医疗保险、公务员医疗补助、带薪年休假、离休费、离退休生活补贴正常开支。执行中，人员类经费按照规定标准按月支出；有人员增减变动时按照要求申报增人增资，增加人员经费预算调整人员经费预算；年底人员经费支出100%完成，没有资金结余，没有违规开支记录，资金使用有效。</w:t>
      </w:r>
    </w:p>
    <w:p>
      <w:pPr>
        <w:widowControl/>
        <w:adjustRightInd w:val="0"/>
        <w:snapToGrid w:val="0"/>
        <w:spacing w:line="560" w:lineRule="exact"/>
        <w:ind w:firstLineChars="200" w:firstLine="640"/>
        <w:contextualSpacing/>
        <w:jc w:val="left"/>
        <w:rPr>
          <w:rFonts w:ascii="仿宋_GB2312" w:eastAsia="仿宋_GB2312" w:cs="仿宋_GB2312" w:hAnsi="仿宋_GB2312"/>
          <w:kern w:val="0"/>
          <w:sz w:val="32"/>
          <w:szCs w:val="32"/>
          <w:shd w:val="clear" w:color="auto" w:fill="FFFFFF"/>
        </w:rPr>
      </w:pPr>
      <w:r>
        <w:rPr>
          <w:rFonts w:ascii="仿宋_GB2312" w:eastAsia="仿宋_GB2312" w:cs="仿宋_GB2312" w:hAnsi="仿宋_GB2312" w:hint="eastAsia"/>
          <w:kern w:val="0"/>
          <w:sz w:val="32"/>
          <w:szCs w:val="32"/>
          <w:shd w:val="clear" w:color="auto" w:fill="FFFFFF"/>
        </w:rPr>
        <w:t>2.运转类项目绩效分析</w:t>
      </w:r>
    </w:p>
    <w:p>
      <w:pPr>
        <w:pStyle w:val="15"/>
        <w:rPr>
          <w:rFonts w:ascii="仿宋_GB2312" w:eastAsia="仿宋_GB2312" w:cs="仿宋_GB2312" w:hAnsi="仿宋_GB2312"/>
          <w:kern w:val="0"/>
          <w:sz w:val="32"/>
          <w:szCs w:val="32"/>
          <w:shd w:val="clear" w:color="auto" w:fill="FFFFFF"/>
          <w:lang w:val="en-US" w:eastAsia="zh-CN" w:bidi="ar-SA"/>
        </w:rPr>
      </w:pPr>
      <w:r>
        <w:rPr>
          <w:rFonts w:ascii="仿宋_GB2312" w:eastAsia="仿宋_GB2312" w:cs="仿宋_GB2312" w:hAnsi="仿宋_GB2312" w:hint="eastAsia"/>
          <w:color w:val="4F81BD"/>
          <w:kern w:val="0"/>
          <w:sz w:val="32"/>
          <w:szCs w:val="32"/>
          <w:shd w:val="clear" w:color="auto" w:fill="FFFFFF"/>
          <w14:textFill>
            <w14:solidFill>
              <w14:srgbClr w14:val="4F81BD"/>
            </w14:solidFill>
          </w14:textFill>
          <w:lang w:val="en-US" w:eastAsia="zh-CN"/>
        </w:rPr>
        <w:t xml:space="preserve">   </w:t>
      </w:r>
      <w:r>
        <w:rPr>
          <w:rFonts w:ascii="仿宋_GB2312" w:eastAsia="仿宋_GB2312" w:cs="仿宋_GB2312" w:hAnsi="仿宋_GB2312" w:hint="eastAsia"/>
          <w:kern w:val="0"/>
          <w:sz w:val="32"/>
          <w:szCs w:val="32"/>
          <w:shd w:val="clear" w:color="auto" w:fill="FFFFFF"/>
          <w:lang w:val="en-US" w:eastAsia="zh-CN" w:bidi="ar-SA"/>
        </w:rPr>
        <w:t xml:space="preserve"> 运转类公用经费，本部门2022年初设定了运转绩效目标，保障三个单位正常业务运转，保障单位邮电费、公务交通补贴、公务车运行维护费、工会经费、福利费、党建经费、公务接待费、离退休公用经费正常开支。“三公”经费从严执行，缩紧开支，节约经费。其他公用经费按照工作需要据实开支，没有使用完的公用经费由市财政部门集中收回，没有违规支付记录，资金运转高效。</w:t>
      </w:r>
    </w:p>
    <w:p>
      <w:pPr>
        <w:widowControl/>
        <w:adjustRightInd w:val="0"/>
        <w:snapToGrid w:val="0"/>
        <w:spacing w:line="560" w:lineRule="exact"/>
        <w:ind w:left="672"/>
        <w:contextualSpacing/>
        <w:jc w:val="left"/>
        <w:rPr>
          <w:rFonts w:ascii="仿宋_GB2312" w:eastAsia="仿宋_GB2312" w:cs="仿宋_GB2312" w:hAnsi="仿宋_GB2312" w:hint="eastAsia"/>
          <w:kern w:val="0"/>
          <w:sz w:val="32"/>
          <w:szCs w:val="32"/>
          <w:shd w:val="clear" w:color="auto" w:fill="FFFFFF"/>
        </w:rPr>
      </w:pPr>
      <w:r>
        <w:rPr>
          <w:rFonts w:ascii="仿宋_GB2312" w:eastAsia="仿宋_GB2312" w:cs="仿宋_GB2312" w:hAnsi="仿宋_GB2312" w:hint="eastAsia"/>
          <w:kern w:val="0"/>
          <w:sz w:val="32"/>
          <w:szCs w:val="32"/>
          <w:shd w:val="clear" w:color="auto" w:fill="FFFFFF"/>
          <w:lang w:val="en-US" w:eastAsia="zh-CN"/>
        </w:rPr>
        <w:t>3.</w:t>
      </w:r>
      <w:r>
        <w:rPr>
          <w:rFonts w:ascii="仿宋_GB2312" w:eastAsia="仿宋_GB2312" w:cs="仿宋_GB2312" w:hAnsi="仿宋_GB2312" w:hint="eastAsia"/>
          <w:kern w:val="0"/>
          <w:sz w:val="32"/>
          <w:szCs w:val="32"/>
          <w:shd w:val="clear" w:color="auto" w:fill="FFFFFF"/>
        </w:rPr>
        <w:t>特定目标类项目绩效分析</w:t>
      </w:r>
    </w:p>
    <w:p>
      <w:pPr>
        <w:pStyle w:val="15"/>
        <w:ind w:firstLineChars="200" w:firstLine="640"/>
        <w:rPr>
          <w:rFonts w:ascii="仿宋_GB2312" w:eastAsia="仿宋_GB2312" w:cs="仿宋_GB2312" w:hAnsi="仿宋_GB2312"/>
          <w:color w:val="auto"/>
          <w:kern w:val="0"/>
          <w:sz w:val="32"/>
          <w:szCs w:val="32"/>
          <w:shd w:val="clear" w:color="auto" w:fill="FFFFFF"/>
          <w:lang w:val="en-US" w:eastAsia="zh-CN"/>
        </w:rPr>
      </w:pPr>
      <w:r>
        <w:rPr>
          <w:rFonts w:ascii="仿宋_GB2312" w:eastAsia="仿宋_GB2312" w:cs="仿宋_GB2312" w:hAnsi="仿宋_GB2312" w:hint="eastAsia"/>
          <w:kern w:val="0"/>
          <w:sz w:val="32"/>
          <w:szCs w:val="32"/>
          <w:shd w:val="clear" w:color="auto" w:fill="FFFFFF"/>
          <w:lang w:val="en-US" w:eastAsia="zh-CN" w:bidi="ar-SA"/>
        </w:rPr>
        <w:t>本部门2022年特定目标类项目“新时代攀枝花精神表述语征集”、“庆祝中国共产党成立</w:t>
      </w:r>
      <w:r>
        <w:rPr>
          <w:rFonts w:ascii="仿宋_GB2312" w:eastAsia="仿宋_GB2312" w:cs="仿宋_GB2312" w:hAnsi="仿宋_GB2312"/>
          <w:kern w:val="0"/>
          <w:sz w:val="32"/>
          <w:szCs w:val="32"/>
          <w:shd w:val="clear" w:color="auto" w:fill="FFFFFF"/>
          <w:lang w:val="en-US" w:eastAsia="zh-CN" w:bidi="ar-SA"/>
        </w:rPr>
        <w:t>100</w:t>
      </w:r>
      <w:r>
        <w:rPr>
          <w:rFonts w:ascii="仿宋_GB2312" w:eastAsia="仿宋_GB2312" w:cs="仿宋_GB2312" w:hAnsi="仿宋_GB2312" w:hint="eastAsia"/>
          <w:kern w:val="0"/>
          <w:sz w:val="32"/>
          <w:szCs w:val="32"/>
          <w:shd w:val="clear" w:color="auto" w:fill="FFFFFF"/>
          <w:lang w:val="en-US" w:eastAsia="zh-CN" w:bidi="ar-SA"/>
        </w:rPr>
        <w:t>周年系列文艺活动”在编制预算时设定了绩效目标。按照“谁申请资金，谁设定目标”的原则，结合本部门年度工作计划，对上述两个项目在项目库申报项目信息的同时填报绩效目标，设定年度绩效数量指标、成本指标、效益指标等，详细反映工作任务、达成的效果。资金开支按照工作进度进行，市文联党组始终强化对预算绩效的管理、把关和指导，保障资金使用科学、规范、有效，资金年度执行率100%，没有结余资金。2022年2个项目完成绩效目标情况较好。</w:t>
      </w:r>
    </w:p>
    <w:p>
      <w:pPr>
        <w:widowControl/>
        <w:adjustRightInd w:val="0"/>
        <w:snapToGrid w:val="0"/>
        <w:spacing w:line="560" w:lineRule="exact"/>
        <w:ind w:firstLineChars="200" w:firstLine="640"/>
        <w:contextualSpacing/>
        <w:jc w:val="left"/>
        <w:rPr>
          <w:rFonts w:ascii="楷体_GB2312" w:eastAsia="楷体_GB2312" w:cs="楷体_GB2312" w:hAnsi="楷体_GB2312"/>
          <w:b/>
          <w:bCs/>
          <w:kern w:val="0"/>
          <w:sz w:val="32"/>
          <w:szCs w:val="32"/>
          <w:shd w:val="clear" w:color="auto" w:fill="FFFFFF"/>
          <w:lang w:val="zh-CN"/>
        </w:rPr>
      </w:pPr>
      <w:r>
        <w:rPr>
          <w:rFonts w:ascii="楷体_GB2312" w:eastAsia="楷体_GB2312" w:cs="楷体_GB2312" w:hAnsi="楷体_GB2312" w:hint="eastAsia"/>
          <w:b/>
          <w:bCs/>
          <w:kern w:val="0"/>
          <w:sz w:val="32"/>
          <w:szCs w:val="32"/>
          <w:shd w:val="clear" w:color="auto" w:fill="FFFFFF"/>
          <w:lang w:val="zh-CN"/>
        </w:rPr>
        <w:t>（二）部门整体履职绩效分析。</w:t>
      </w:r>
    </w:p>
    <w:p>
      <w:pPr>
        <w:pStyle w:val="25"/>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both"/>
        <w:outlineLvl w:val="9"/>
        <w:rPr>
          <w:rFonts w:ascii="仿宋_GB2312" w:eastAsia="仿宋_GB2312" w:cs="仿宋_GB2312" w:hAnsi="仿宋_GB2312"/>
          <w:kern w:val="0"/>
          <w:sz w:val="32"/>
          <w:szCs w:val="32"/>
          <w:shd w:val="clear" w:color="auto" w:fill="FFFFFF"/>
          <w:lang w:val="zh-CN" w:eastAsia="zh-CN" w:bidi="ar-SA"/>
        </w:rPr>
      </w:pPr>
      <w:r>
        <w:rPr>
          <w:rFonts w:ascii="仿宋_GB2312" w:eastAsia="仿宋_GB2312" w:cs="仿宋_GB2312" w:hAnsi="仿宋_GB2312" w:hint="eastAsia"/>
          <w:kern w:val="0"/>
          <w:sz w:val="32"/>
          <w:szCs w:val="32"/>
          <w:shd w:val="clear" w:color="auto" w:fill="FFFFFF"/>
          <w:lang w:val="en-US" w:eastAsia="zh-CN" w:bidi="ar-SA"/>
        </w:rPr>
        <w:t>2022年本部门整体支出绩效自评结果良好，全年基本支出保证了部门的正常运转，项目支出保障了重点工作的开展。</w:t>
      </w:r>
      <w:r>
        <w:rPr>
          <w:rFonts w:ascii="仿宋_GB2312" w:eastAsia="仿宋_GB2312" w:cs="仿宋_GB2312" w:hAnsi="仿宋_GB2312"/>
          <w:kern w:val="0"/>
          <w:sz w:val="32"/>
          <w:szCs w:val="32"/>
          <w:shd w:val="clear" w:color="auto" w:fill="FFFFFF"/>
          <w:lang w:val="en-US" w:eastAsia="zh-CN" w:bidi="ar-SA"/>
        </w:rPr>
        <w:t>2022</w:t>
      </w:r>
      <w:r>
        <w:rPr>
          <w:rFonts w:ascii="仿宋_GB2312" w:eastAsia="仿宋_GB2312" w:cs="仿宋_GB2312" w:hAnsi="仿宋_GB2312" w:hint="eastAsia"/>
          <w:kern w:val="0"/>
          <w:sz w:val="32"/>
          <w:szCs w:val="32"/>
          <w:shd w:val="clear" w:color="auto" w:fill="FFFFFF"/>
          <w:lang w:val="en-US" w:eastAsia="zh-CN" w:bidi="ar-SA"/>
        </w:rPr>
        <w:t>年在编人员控制率为</w:t>
      </w:r>
      <w:r>
        <w:rPr>
          <w:rFonts w:ascii="仿宋_GB2312" w:eastAsia="仿宋_GB2312" w:cs="仿宋_GB2312" w:hAnsi="仿宋_GB2312"/>
          <w:kern w:val="0"/>
          <w:sz w:val="32"/>
          <w:szCs w:val="32"/>
          <w:shd w:val="clear" w:color="auto" w:fill="FFFFFF"/>
          <w:lang w:val="en-US" w:eastAsia="zh-CN" w:bidi="ar-SA"/>
        </w:rPr>
        <w:t>92.00%</w:t>
      </w:r>
      <w:r>
        <w:rPr>
          <w:rFonts w:ascii="仿宋_GB2312" w:eastAsia="仿宋_GB2312" w:cs="仿宋_GB2312" w:hAnsi="仿宋_GB2312" w:hint="eastAsia"/>
          <w:kern w:val="0"/>
          <w:sz w:val="32"/>
          <w:szCs w:val="32"/>
          <w:shd w:val="clear" w:color="auto" w:fill="FFFFFF"/>
          <w:lang w:val="en-US" w:eastAsia="zh-CN" w:bidi="ar-SA"/>
        </w:rPr>
        <w:t>，在编制控制范围内。我单位严格落实政府过紧日子要求，</w:t>
      </w:r>
      <w:r>
        <w:rPr>
          <w:rFonts w:ascii="仿宋_GB2312" w:eastAsia="仿宋_GB2312" w:cs="仿宋_GB2312" w:hAnsi="仿宋_GB2312"/>
          <w:kern w:val="0"/>
          <w:sz w:val="32"/>
          <w:szCs w:val="32"/>
          <w:shd w:val="clear" w:color="auto" w:fill="FFFFFF"/>
          <w:lang w:val="en-US" w:eastAsia="zh-CN" w:bidi="ar-SA"/>
        </w:rPr>
        <w:t>“</w:t>
      </w:r>
      <w:r>
        <w:rPr>
          <w:rFonts w:ascii="仿宋_GB2312" w:eastAsia="仿宋_GB2312" w:cs="仿宋_GB2312" w:hAnsi="仿宋_GB2312" w:hint="eastAsia"/>
          <w:kern w:val="0"/>
          <w:sz w:val="32"/>
          <w:szCs w:val="32"/>
          <w:shd w:val="clear" w:color="auto" w:fill="FFFFFF"/>
          <w:lang w:val="en-US" w:eastAsia="zh-CN" w:bidi="ar-SA"/>
        </w:rPr>
        <w:t>三公</w:t>
      </w:r>
      <w:r>
        <w:rPr>
          <w:rFonts w:ascii="仿宋_GB2312" w:eastAsia="仿宋_GB2312" w:cs="仿宋_GB2312" w:hAnsi="仿宋_GB2312"/>
          <w:kern w:val="0"/>
          <w:sz w:val="32"/>
          <w:szCs w:val="32"/>
          <w:shd w:val="clear" w:color="auto" w:fill="FFFFFF"/>
          <w:lang w:val="en-US" w:eastAsia="zh-CN" w:bidi="ar-SA"/>
        </w:rPr>
        <w:t>”</w:t>
      </w:r>
      <w:r>
        <w:rPr>
          <w:rFonts w:ascii="仿宋_GB2312" w:eastAsia="仿宋_GB2312" w:cs="仿宋_GB2312" w:hAnsi="仿宋_GB2312" w:hint="eastAsia"/>
          <w:kern w:val="0"/>
          <w:sz w:val="32"/>
          <w:szCs w:val="32"/>
          <w:shd w:val="clear" w:color="auto" w:fill="FFFFFF"/>
          <w:lang w:val="en-US" w:eastAsia="zh-CN" w:bidi="ar-SA"/>
        </w:rPr>
        <w:t>年初预算执行率为</w:t>
      </w:r>
      <w:r>
        <w:rPr>
          <w:rFonts w:ascii="仿宋_GB2312" w:eastAsia="仿宋_GB2312" w:cs="仿宋_GB2312" w:hAnsi="仿宋_GB2312"/>
          <w:kern w:val="0"/>
          <w:sz w:val="32"/>
          <w:szCs w:val="32"/>
          <w:shd w:val="clear" w:color="auto" w:fill="FFFFFF"/>
          <w:lang w:val="en-US" w:eastAsia="zh-CN" w:bidi="ar-SA"/>
        </w:rPr>
        <w:t>34.80%</w:t>
      </w:r>
      <w:r>
        <w:rPr>
          <w:rFonts w:ascii="仿宋_GB2312" w:eastAsia="仿宋_GB2312" w:cs="仿宋_GB2312" w:hAnsi="仿宋_GB2312" w:hint="eastAsia"/>
          <w:kern w:val="0"/>
          <w:sz w:val="32"/>
          <w:szCs w:val="32"/>
          <w:shd w:val="clear" w:color="auto" w:fill="FFFFFF"/>
          <w:lang w:val="en-US" w:eastAsia="zh-CN" w:bidi="ar-SA"/>
        </w:rPr>
        <w:t>。</w:t>
      </w:r>
      <w:r>
        <w:rPr>
          <w:rFonts w:ascii="仿宋_GB2312" w:eastAsia="仿宋_GB2312" w:cs="仿宋_GB2312" w:hAnsi="仿宋_GB2312"/>
          <w:kern w:val="0"/>
          <w:sz w:val="32"/>
          <w:szCs w:val="32"/>
          <w:shd w:val="clear" w:color="auto" w:fill="FFFFFF"/>
          <w:lang w:val="en-US" w:eastAsia="zh-CN" w:bidi="ar-SA"/>
        </w:rPr>
        <w:t>2022</w:t>
      </w:r>
      <w:r>
        <w:rPr>
          <w:rFonts w:ascii="仿宋_GB2312" w:eastAsia="仿宋_GB2312" w:cs="仿宋_GB2312" w:hAnsi="仿宋_GB2312" w:hint="eastAsia"/>
          <w:kern w:val="0"/>
          <w:sz w:val="32"/>
          <w:szCs w:val="32"/>
          <w:shd w:val="clear" w:color="auto" w:fill="FFFFFF"/>
          <w:lang w:val="en-US" w:eastAsia="zh-CN" w:bidi="ar-SA"/>
        </w:rPr>
        <w:t>年没有安排政府采购预算，集中采购目录外、限额标准以内的购买需求履行内部采购程序（比选）。加强项目资金的执行进度，</w:t>
      </w:r>
      <w:r>
        <w:rPr>
          <w:rFonts w:ascii="仿宋_GB2312" w:eastAsia="仿宋_GB2312" w:cs="仿宋_GB2312" w:hAnsi="仿宋_GB2312"/>
          <w:kern w:val="0"/>
          <w:sz w:val="32"/>
          <w:szCs w:val="32"/>
          <w:shd w:val="clear" w:color="auto" w:fill="FFFFFF"/>
          <w:lang w:val="en-US" w:eastAsia="zh-CN" w:bidi="ar-SA"/>
        </w:rPr>
        <w:t>2022</w:t>
      </w:r>
      <w:r>
        <w:rPr>
          <w:rFonts w:ascii="仿宋_GB2312" w:eastAsia="仿宋_GB2312" w:cs="仿宋_GB2312" w:hAnsi="仿宋_GB2312" w:hint="eastAsia"/>
          <w:kern w:val="0"/>
          <w:sz w:val="32"/>
          <w:szCs w:val="32"/>
          <w:shd w:val="clear" w:color="auto" w:fill="FFFFFF"/>
          <w:lang w:val="en-US" w:eastAsia="zh-CN" w:bidi="ar-SA"/>
        </w:rPr>
        <w:t>年项目预算支出全部按期完成，</w:t>
      </w:r>
      <w:r>
        <w:rPr>
          <w:rFonts w:ascii="仿宋_GB2312" w:eastAsia="仿宋_GB2312" w:cs="仿宋_GB2312" w:hAnsi="仿宋_GB2312"/>
          <w:kern w:val="0"/>
          <w:sz w:val="32"/>
          <w:szCs w:val="32"/>
          <w:shd w:val="clear" w:color="auto" w:fill="FFFFFF"/>
          <w:lang w:val="en-US" w:eastAsia="zh-CN" w:bidi="ar-SA"/>
        </w:rPr>
        <w:t>“</w:t>
      </w:r>
      <w:r>
        <w:rPr>
          <w:rFonts w:ascii="仿宋_GB2312" w:eastAsia="仿宋_GB2312" w:cs="仿宋_GB2312" w:hAnsi="仿宋_GB2312" w:hint="eastAsia"/>
          <w:kern w:val="0"/>
          <w:sz w:val="32"/>
          <w:szCs w:val="32"/>
          <w:shd w:val="clear" w:color="auto" w:fill="FFFFFF"/>
          <w:lang w:val="en-US" w:eastAsia="zh-CN" w:bidi="ar-SA"/>
        </w:rPr>
        <w:t>庆祝中国共产党成立</w:t>
      </w:r>
      <w:r>
        <w:rPr>
          <w:rFonts w:ascii="仿宋_GB2312" w:eastAsia="仿宋_GB2312" w:cs="仿宋_GB2312" w:hAnsi="仿宋_GB2312"/>
          <w:kern w:val="0"/>
          <w:sz w:val="32"/>
          <w:szCs w:val="32"/>
          <w:shd w:val="clear" w:color="auto" w:fill="FFFFFF"/>
          <w:lang w:val="en-US" w:eastAsia="zh-CN" w:bidi="ar-SA"/>
        </w:rPr>
        <w:t>100</w:t>
      </w:r>
      <w:r>
        <w:rPr>
          <w:rFonts w:ascii="仿宋_GB2312" w:eastAsia="仿宋_GB2312" w:cs="仿宋_GB2312" w:hAnsi="仿宋_GB2312" w:hint="eastAsia"/>
          <w:kern w:val="0"/>
          <w:sz w:val="32"/>
          <w:szCs w:val="32"/>
          <w:shd w:val="clear" w:color="auto" w:fill="FFFFFF"/>
          <w:lang w:val="en-US" w:eastAsia="zh-CN" w:bidi="ar-SA"/>
        </w:rPr>
        <w:t>周年系列文艺活动</w:t>
      </w:r>
      <w:r>
        <w:rPr>
          <w:rFonts w:ascii="仿宋_GB2312" w:eastAsia="仿宋_GB2312" w:cs="仿宋_GB2312" w:hAnsi="仿宋_GB2312"/>
          <w:kern w:val="0"/>
          <w:sz w:val="32"/>
          <w:szCs w:val="32"/>
          <w:shd w:val="clear" w:color="auto" w:fill="FFFFFF"/>
          <w:lang w:val="en-US" w:eastAsia="zh-CN" w:bidi="ar-SA"/>
        </w:rPr>
        <w:t>”“</w:t>
      </w:r>
      <w:r>
        <w:rPr>
          <w:rFonts w:ascii="仿宋_GB2312" w:eastAsia="仿宋_GB2312" w:cs="仿宋_GB2312" w:hAnsi="仿宋_GB2312" w:hint="eastAsia"/>
          <w:kern w:val="0"/>
          <w:sz w:val="32"/>
          <w:szCs w:val="32"/>
          <w:shd w:val="clear" w:color="auto" w:fill="FFFFFF"/>
          <w:lang w:val="en-US" w:eastAsia="zh-CN" w:bidi="ar-SA"/>
        </w:rPr>
        <w:t>时代攀枝花精神表述语征集</w:t>
      </w:r>
      <w:r>
        <w:rPr>
          <w:rFonts w:ascii="仿宋_GB2312" w:eastAsia="仿宋_GB2312" w:cs="仿宋_GB2312" w:hAnsi="仿宋_GB2312"/>
          <w:kern w:val="0"/>
          <w:sz w:val="32"/>
          <w:szCs w:val="32"/>
          <w:shd w:val="clear" w:color="auto" w:fill="FFFFFF"/>
          <w:lang w:val="en-US" w:eastAsia="zh-CN" w:bidi="ar-SA"/>
        </w:rPr>
        <w:t>”</w:t>
      </w:r>
      <w:r>
        <w:rPr>
          <w:rFonts w:ascii="仿宋_GB2312" w:eastAsia="仿宋_GB2312" w:cs="仿宋_GB2312" w:hAnsi="仿宋_GB2312" w:hint="eastAsia"/>
          <w:kern w:val="0"/>
          <w:sz w:val="32"/>
          <w:szCs w:val="32"/>
          <w:shd w:val="clear" w:color="auto" w:fill="FFFFFF"/>
          <w:lang w:val="en-US" w:eastAsia="zh-CN" w:bidi="ar-SA"/>
        </w:rPr>
        <w:t>执行率</w:t>
      </w:r>
      <w:r>
        <w:rPr>
          <w:rFonts w:ascii="仿宋_GB2312" w:eastAsia="仿宋_GB2312" w:cs="仿宋_GB2312" w:hAnsi="仿宋_GB2312"/>
          <w:kern w:val="0"/>
          <w:sz w:val="32"/>
          <w:szCs w:val="32"/>
          <w:shd w:val="clear" w:color="auto" w:fill="FFFFFF"/>
          <w:lang w:val="en-US" w:eastAsia="zh-CN" w:bidi="ar-SA"/>
        </w:rPr>
        <w:t>100%</w:t>
      </w:r>
      <w:r>
        <w:rPr>
          <w:rFonts w:ascii="仿宋_GB2312" w:eastAsia="仿宋_GB2312" w:cs="仿宋_GB2312" w:hAnsi="仿宋_GB2312" w:hint="eastAsia"/>
          <w:kern w:val="0"/>
          <w:sz w:val="32"/>
          <w:szCs w:val="32"/>
          <w:shd w:val="clear" w:color="auto" w:fill="FFFFFF"/>
          <w:lang w:val="en-US" w:eastAsia="zh-CN" w:bidi="ar-SA"/>
        </w:rPr>
        <w:t>。年末没有财政结余资金，预算控制较好。</w:t>
      </w:r>
    </w:p>
    <w:p>
      <w:pPr>
        <w:widowControl/>
        <w:adjustRightInd w:val="0"/>
        <w:snapToGrid w:val="0"/>
        <w:spacing w:line="560" w:lineRule="exact"/>
        <w:ind w:firstLineChars="200" w:firstLine="640"/>
        <w:contextualSpacing/>
        <w:jc w:val="left"/>
        <w:rPr>
          <w:rFonts w:ascii="仿宋_GB2312" w:eastAsia="仿宋_GB2312" w:cs="仿宋_GB2312" w:hAnsi="仿宋_GB2312" w:hint="eastAsia"/>
          <w:kern w:val="0"/>
          <w:sz w:val="32"/>
          <w:szCs w:val="32"/>
          <w:shd w:val="clear" w:color="auto" w:fill="FFFFFF"/>
          <w:lang w:val="zh-CN" w:eastAsia="zh-CN" w:bidi="ar-SA"/>
        </w:rPr>
      </w:pPr>
      <w:r>
        <w:rPr>
          <w:rFonts w:ascii="仿宋_GB2312" w:eastAsia="仿宋_GB2312" w:cs="仿宋_GB2312" w:hAnsi="仿宋_GB2312" w:hint="eastAsia"/>
          <w:kern w:val="0"/>
          <w:sz w:val="32"/>
          <w:szCs w:val="32"/>
          <w:shd w:val="clear" w:color="auto" w:fill="FFFFFF"/>
          <w:lang w:val="en-US" w:eastAsia="zh-CN" w:bidi="ar-SA"/>
        </w:rPr>
        <w:t>按照2023年整体支出绩效评价指标体系，本部门在目标管理、动态调整、完成结果、内部应用、信息公开、整改反馈等方面进行了自评，最终自评得分</w:t>
      </w:r>
      <w:r>
        <w:rPr>
          <w:rFonts w:ascii="仿宋_GB2312" w:eastAsia="仿宋_GB2312" w:cs="仿宋_GB2312" w:hAnsi="仿宋_GB2312"/>
          <w:kern w:val="0"/>
          <w:sz w:val="32"/>
          <w:szCs w:val="32"/>
          <w:shd w:val="clear" w:color="auto" w:fill="FFFFFF"/>
          <w:lang w:val="en-US" w:eastAsia="zh-CN" w:bidi="ar-SA"/>
        </w:rPr>
        <w:t>94.45</w:t>
      </w:r>
      <w:r>
        <w:rPr>
          <w:rFonts w:ascii="仿宋_GB2312" w:eastAsia="仿宋_GB2312" w:cs="仿宋_GB2312" w:hAnsi="仿宋_GB2312" w:hint="eastAsia"/>
          <w:kern w:val="0"/>
          <w:sz w:val="32"/>
          <w:szCs w:val="32"/>
          <w:shd w:val="clear" w:color="auto" w:fill="FFFFFF"/>
          <w:lang w:val="en-US" w:eastAsia="zh-CN" w:bidi="ar-SA"/>
        </w:rPr>
        <w:t>分。</w:t>
      </w:r>
    </w:p>
    <w:p>
      <w:pPr>
        <w:widowControl/>
        <w:adjustRightInd w:val="0"/>
        <w:snapToGrid w:val="0"/>
        <w:spacing w:line="560" w:lineRule="exact"/>
        <w:ind w:firstLineChars="200" w:firstLine="640"/>
        <w:contextualSpacing/>
        <w:jc w:val="left"/>
        <w:rPr>
          <w:rFonts w:ascii="楷体_GB2312" w:eastAsia="楷体_GB2312" w:cs="楷体_GB2312" w:hAnsi="楷体_GB2312" w:hint="eastAsia"/>
          <w:b/>
          <w:bCs/>
          <w:kern w:val="0"/>
          <w:sz w:val="32"/>
          <w:szCs w:val="32"/>
          <w:shd w:val="clear" w:color="auto" w:fill="FFFFFF"/>
          <w:lang w:val="zh-CN"/>
        </w:rPr>
      </w:pPr>
      <w:r>
        <w:rPr>
          <w:rFonts w:ascii="楷体_GB2312" w:eastAsia="楷体_GB2312" w:cs="楷体_GB2312" w:hAnsi="楷体_GB2312" w:hint="eastAsia"/>
          <w:b/>
          <w:bCs/>
          <w:kern w:val="0"/>
          <w:sz w:val="32"/>
          <w:szCs w:val="32"/>
          <w:shd w:val="clear" w:color="auto" w:fill="FFFFFF"/>
          <w:lang w:val="zh-CN"/>
        </w:rPr>
        <w:t>（三）结果应用情况。</w:t>
      </w:r>
    </w:p>
    <w:p>
      <w:pPr>
        <w:widowControl/>
        <w:adjustRightInd w:val="0"/>
        <w:snapToGrid w:val="0"/>
        <w:spacing w:line="560" w:lineRule="exact"/>
        <w:ind w:firstLineChars="200" w:firstLine="640"/>
        <w:contextualSpacing/>
        <w:jc w:val="left"/>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市文联将支出科室预算项目绩效目标编制完成情况、全年预算执行情况和年中项目预算金额调整情况纳入绩效管理考评，作为年度评优评先和绩效工资二次分配的参考。同时，按照市财政局统一部署安排，</w:t>
      </w:r>
      <w:r>
        <w:rPr>
          <w:rFonts w:ascii="仿宋_GB2312" w:eastAsia="仿宋_GB2312" w:cs="仿宋_GB2312" w:hAnsi="仿宋_GB2312"/>
          <w:kern w:val="0"/>
          <w:sz w:val="32"/>
          <w:szCs w:val="32"/>
          <w:shd w:val="clear" w:color="auto" w:fill="FFFFFF"/>
          <w:lang w:val="en-US" w:eastAsia="zh-CN"/>
        </w:rPr>
        <w:t>2022</w:t>
      </w:r>
      <w:r>
        <w:rPr>
          <w:rFonts w:ascii="仿宋_GB2312" w:eastAsia="仿宋_GB2312" w:cs="仿宋_GB2312" w:hAnsi="仿宋_GB2312" w:hint="eastAsia"/>
          <w:kern w:val="0"/>
          <w:sz w:val="32"/>
          <w:szCs w:val="32"/>
          <w:shd w:val="clear" w:color="auto" w:fill="FFFFFF"/>
          <w:lang w:val="en-US" w:eastAsia="zh-CN"/>
        </w:rPr>
        <w:t>年部门预算编制说明公开了整体绩效目标设置情况，进一步提高财政资金管理透明度。</w:t>
      </w:r>
    </w:p>
    <w:p>
      <w:pPr>
        <w:widowControl/>
        <w:numPr>
          <w:ilvl w:val="0"/>
          <w:numId w:val="6"/>
        </w:numPr>
        <w:adjustRightInd w:val="0"/>
        <w:snapToGrid w:val="0"/>
        <w:spacing w:line="560" w:lineRule="exact"/>
        <w:ind w:left="0" w:firstLineChars="200" w:firstLine="640"/>
        <w:contextualSpacing/>
        <w:jc w:val="left"/>
        <w:rPr>
          <w:rFonts w:ascii="楷体_GB2312" w:eastAsia="楷体_GB2312" w:cs="楷体_GB2312" w:hAnsi="楷体_GB2312"/>
          <w:b/>
          <w:bCs/>
          <w:kern w:val="0"/>
          <w:sz w:val="32"/>
          <w:szCs w:val="32"/>
          <w:shd w:val="clear" w:color="auto" w:fill="FFFFFF"/>
          <w:lang w:val="zh-CN"/>
        </w:rPr>
      </w:pPr>
      <w:r>
        <w:rPr>
          <w:rFonts w:ascii="楷体_GB2312" w:eastAsia="楷体_GB2312" w:cs="楷体_GB2312" w:hAnsi="楷体_GB2312" w:hint="eastAsia"/>
          <w:b/>
          <w:bCs/>
          <w:kern w:val="0"/>
          <w:sz w:val="32"/>
          <w:szCs w:val="32"/>
          <w:shd w:val="clear" w:color="auto" w:fill="FFFFFF"/>
          <w:lang w:val="zh-CN"/>
        </w:rPr>
        <w:t>自评质量。</w:t>
      </w:r>
    </w:p>
    <w:p>
      <w:pPr>
        <w:widowControl/>
        <w:adjustRightInd w:val="0"/>
        <w:snapToGrid w:val="0"/>
        <w:spacing w:line="560" w:lineRule="exact"/>
        <w:ind w:firstLineChars="200" w:firstLine="640"/>
        <w:contextualSpacing/>
        <w:jc w:val="left"/>
        <w:rPr>
          <w:rFonts w:ascii="仿宋_GB2312" w:eastAsia="仿宋_GB2312" w:cs="仿宋_GB2312" w:hAnsi="仿宋_GB2312"/>
          <w:kern w:val="0"/>
          <w:sz w:val="32"/>
          <w:szCs w:val="32"/>
          <w:shd w:val="clear" w:color="auto" w:fill="FFFFFF"/>
          <w:lang w:val="en-US" w:eastAsia="zh-CN"/>
        </w:rPr>
      </w:pPr>
      <w:r>
        <w:rPr>
          <w:rFonts w:ascii="仿宋_GB2312" w:eastAsia="仿宋_GB2312" w:cs="仿宋_GB2312" w:hAnsi="仿宋_GB2312" w:hint="eastAsia"/>
          <w:kern w:val="0"/>
          <w:sz w:val="32"/>
          <w:szCs w:val="32"/>
          <w:shd w:val="clear" w:color="auto" w:fill="FFFFFF"/>
          <w:lang w:val="en-US" w:eastAsia="zh-CN"/>
        </w:rPr>
        <w:t>《攀枝花市财政局关于2022年度预算绩效自评工作开展情况通报》本部门绩效评价工作开展情况为“良”等次。</w:t>
      </w:r>
    </w:p>
    <w:p>
      <w:pPr>
        <w:widowControl/>
        <w:adjustRightInd w:val="0"/>
        <w:snapToGrid w:val="0"/>
        <w:spacing w:line="560" w:lineRule="exact"/>
        <w:ind w:firstLineChars="200" w:firstLine="640"/>
        <w:contextualSpacing/>
        <w:jc w:val="left"/>
        <w:rPr>
          <w:rFonts w:ascii="黑体" w:eastAsia="黑体" w:cs="宋体" w:hAnsi="宋体"/>
          <w:kern w:val="0"/>
          <w:sz w:val="32"/>
          <w:szCs w:val="32"/>
          <w:shd w:val="clear" w:color="auto" w:fill="FFFFFF"/>
        </w:rPr>
      </w:pPr>
      <w:r>
        <w:rPr>
          <w:rFonts w:ascii="黑体" w:eastAsia="黑体" w:cs="宋体" w:hAnsi="宋体" w:hint="eastAsia"/>
          <w:kern w:val="0"/>
          <w:sz w:val="32"/>
          <w:szCs w:val="32"/>
          <w:shd w:val="clear" w:color="auto" w:fill="FFFFFF"/>
        </w:rPr>
        <w:t>四、评价结论及建议</w:t>
      </w:r>
    </w:p>
    <w:p>
      <w:pPr>
        <w:keepNext w:val="0"/>
        <w:keepLines w:val="0"/>
        <w:widowControl/>
        <w:suppressLineNumbers w:val="0"/>
        <w:ind w:firstLineChars="200" w:firstLine="640"/>
        <w:jc w:val="left"/>
        <w:rPr>
          <w:rFonts w:ascii="楷体_GB2312" w:eastAsia="楷体_GB2312" w:cs="楷体_GB2312" w:hAnsi="楷体_GB2312" w:hint="eastAsia"/>
          <w:b/>
          <w:bCs/>
          <w:kern w:val="0"/>
          <w:sz w:val="32"/>
          <w:szCs w:val="32"/>
          <w:shd w:val="clear" w:color="auto" w:fill="FFFFFF"/>
          <w:lang w:val="zh-CN"/>
        </w:rPr>
      </w:pPr>
      <w:r>
        <w:rPr>
          <w:rFonts w:ascii="楷体_GB2312" w:eastAsia="楷体_GB2312" w:cs="楷体_GB2312" w:hAnsi="楷体_GB2312" w:hint="eastAsia"/>
          <w:b/>
          <w:bCs/>
          <w:kern w:val="0"/>
          <w:sz w:val="32"/>
          <w:szCs w:val="32"/>
          <w:shd w:val="clear" w:color="auto" w:fill="FFFFFF"/>
          <w:lang w:val="zh-CN"/>
        </w:rPr>
        <w:t>（一）评价结论。</w:t>
      </w:r>
    </w:p>
    <w:p>
      <w:pPr>
        <w:pStyle w:val="26"/>
        <w:spacing w:line="560" w:lineRule="exact"/>
        <w:ind w:leftChars="0" w:left="0"/>
        <w:rPr>
          <w:rFonts w:ascii="仿宋_GB2312" w:eastAsia="仿宋_GB2312" w:cs="仿宋_GB2312" w:hAnsi="仿宋_GB2312" w:hint="eastAsia"/>
          <w:kern w:val="0"/>
          <w:sz w:val="32"/>
          <w:szCs w:val="32"/>
          <w:shd w:val="clear" w:color="auto" w:fill="FFFFFF"/>
          <w:lang w:val="en-US" w:eastAsia="zh-CN" w:bidi="ar-SA"/>
        </w:rPr>
      </w:pPr>
      <w:r>
        <w:rPr>
          <w:rFonts w:ascii="仿宋_GB2312" w:eastAsia="仿宋_GB2312" w:cs="仿宋_GB2312" w:hAnsi="仿宋_GB2312" w:hint="eastAsia"/>
          <w:kern w:val="0"/>
          <w:sz w:val="32"/>
          <w:szCs w:val="32"/>
          <w:shd w:val="clear" w:color="auto" w:fill="FFFFFF"/>
          <w:lang w:val="en-US" w:eastAsia="zh-CN" w:bidi="ar-SA"/>
        </w:rPr>
        <w:t>本部门2022年制定的部门整体支出绩效目标，基本覆盖当年重点工作任务，并根据重点工作任务情况设置了预期需要达到的总体产出和效果指标，绩效目标指向明确且细化、量化。</w:t>
      </w:r>
    </w:p>
    <w:p>
      <w:pPr>
        <w:widowControl/>
        <w:adjustRightInd w:val="0"/>
        <w:snapToGrid w:val="0"/>
        <w:spacing w:line="560" w:lineRule="exact"/>
        <w:ind w:firstLineChars="200" w:firstLine="640"/>
        <w:contextualSpacing/>
        <w:jc w:val="left"/>
        <w:rPr>
          <w:rFonts w:ascii="楷体_GB2312" w:eastAsia="楷体_GB2312" w:cs="楷体_GB2312" w:hAnsi="楷体_GB2312" w:hint="eastAsia"/>
          <w:b/>
          <w:bCs/>
          <w:kern w:val="0"/>
          <w:sz w:val="32"/>
          <w:szCs w:val="32"/>
          <w:shd w:val="clear" w:color="auto" w:fill="FFFFFF"/>
          <w:lang w:val="zh-CN"/>
        </w:rPr>
      </w:pPr>
      <w:r>
        <w:rPr>
          <w:rFonts w:ascii="楷体_GB2312" w:eastAsia="楷体_GB2312" w:cs="楷体_GB2312" w:hAnsi="楷体_GB2312" w:hint="eastAsia"/>
          <w:b/>
          <w:bCs/>
          <w:kern w:val="0"/>
          <w:sz w:val="32"/>
          <w:szCs w:val="32"/>
          <w:shd w:val="clear" w:color="auto" w:fill="FFFFFF"/>
          <w:lang w:val="zh-CN"/>
        </w:rPr>
        <w:t>（二）存在问题。</w:t>
      </w:r>
    </w:p>
    <w:p>
      <w:pPr>
        <w:pStyle w:val="15"/>
        <w:rPr>
          <w:rFonts w:eastAsia="楷体_GB2312"/>
          <w:lang w:val="en-US" w:eastAsia="zh-CN"/>
        </w:rPr>
      </w:pPr>
      <w:r>
        <w:rPr>
          <w:rFonts w:ascii="楷体_GB2312" w:eastAsia="楷体_GB2312" w:cs="楷体_GB2312" w:hAnsi="楷体_GB2312" w:hint="eastAsia"/>
          <w:b/>
          <w:bCs/>
          <w:kern w:val="0"/>
          <w:sz w:val="32"/>
          <w:szCs w:val="32"/>
          <w:shd w:val="clear" w:color="auto" w:fill="FFFFFF"/>
          <w:lang w:val="en-US" w:eastAsia="zh-CN"/>
        </w:rPr>
        <w:t xml:space="preserve">    </w:t>
      </w:r>
      <w:r>
        <w:rPr>
          <w:rFonts w:ascii="仿宋_GB2312" w:eastAsia="仿宋_GB2312" w:cs="仿宋_GB2312" w:hAnsi="仿宋_GB2312" w:hint="eastAsia"/>
          <w:kern w:val="0"/>
          <w:sz w:val="32"/>
          <w:szCs w:val="32"/>
          <w:shd w:val="clear" w:color="auto" w:fill="FFFFFF"/>
          <w:lang w:val="en-US" w:eastAsia="zh-CN" w:bidi="ar-SA"/>
        </w:rPr>
        <w:t>一是预算项目绩效目标编制准确性需提高；二是项目预算执行度需加快。</w:t>
      </w:r>
    </w:p>
    <w:p>
      <w:pPr>
        <w:widowControl/>
        <w:numPr>
          <w:ilvl w:val="0"/>
          <w:numId w:val="7"/>
        </w:numPr>
        <w:adjustRightInd w:val="0"/>
        <w:snapToGrid w:val="0"/>
        <w:spacing w:line="560" w:lineRule="exact"/>
        <w:ind w:left="0" w:firstLineChars="200" w:firstLine="640"/>
        <w:contextualSpacing/>
        <w:jc w:val="left"/>
        <w:rPr>
          <w:rFonts w:ascii="楷体_GB2312" w:eastAsia="楷体_GB2312" w:cs="楷体_GB2312" w:hAnsi="楷体_GB2312" w:hint="eastAsia"/>
          <w:b/>
          <w:bCs/>
          <w:kern w:val="0"/>
          <w:sz w:val="32"/>
          <w:szCs w:val="32"/>
          <w:shd w:val="clear" w:color="auto" w:fill="FFFFFF"/>
          <w:lang w:val="zh-CN"/>
        </w:rPr>
      </w:pPr>
      <w:r>
        <w:rPr>
          <w:rFonts w:ascii="楷体_GB2312" w:eastAsia="楷体_GB2312" w:cs="楷体_GB2312" w:hAnsi="楷体_GB2312" w:hint="eastAsia"/>
          <w:b/>
          <w:bCs/>
          <w:kern w:val="0"/>
          <w:sz w:val="32"/>
          <w:szCs w:val="32"/>
          <w:shd w:val="clear" w:color="auto" w:fill="FFFFFF"/>
          <w:lang w:val="zh-CN"/>
        </w:rPr>
        <w:t>改进建议。</w:t>
      </w:r>
    </w:p>
    <w:p>
      <w:pPr>
        <w:pStyle w:val="15"/>
        <w:rPr>
          <w:rFonts w:ascii="仿宋_GB2312" w:eastAsia="仿宋_GB2312" w:cs="仿宋_GB2312" w:hAnsi="仿宋_GB2312"/>
          <w:kern w:val="0"/>
          <w:sz w:val="32"/>
          <w:szCs w:val="32"/>
          <w:shd w:val="clear" w:color="auto" w:fill="FFFFFF"/>
          <w:lang w:val="en-US" w:eastAsia="zh-CN" w:bidi="ar-SA"/>
        </w:rPr>
      </w:pPr>
      <w:r>
        <w:rPr>
          <w:rFonts w:hint="eastAsia"/>
          <w:lang w:val="en-US" w:eastAsia="zh-CN"/>
        </w:rPr>
        <w:t xml:space="preserve"> </w:t>
      </w:r>
      <w:r>
        <w:rPr>
          <w:rFonts w:ascii="仿宋_GB2312" w:eastAsia="仿宋_GB2312" w:cs="仿宋_GB2312" w:hAnsi="仿宋_GB2312" w:hint="eastAsia"/>
          <w:kern w:val="0"/>
          <w:sz w:val="32"/>
          <w:szCs w:val="32"/>
          <w:shd w:val="clear" w:color="auto" w:fill="FFFFFF"/>
          <w:lang w:val="en-US" w:eastAsia="zh-CN" w:bidi="ar-SA"/>
        </w:rPr>
        <w:t xml:space="preserve">   </w:t>
      </w:r>
      <w:r>
        <w:rPr>
          <w:rFonts w:ascii="仿宋_GB2312" w:eastAsia="仿宋_GB2312" w:cs="仿宋" w:hAnsi="Calibri" w:hint="eastAsia"/>
          <w:kern w:val="0"/>
          <w:sz w:val="32"/>
          <w:szCs w:val="32"/>
          <w:lang w:val="en-US" w:eastAsia="zh-CN" w:bidi="ar-SA"/>
        </w:rPr>
        <w:t>进一步压实资金使用科室责任，做到项目资金需求测算精准，项目实施高效有序。对执行进度较慢的责任科室，适时予以提醒敦促，切实提升项目绩效，确保预算绩效管理延伸至资金使用终端。</w:t>
      </w:r>
    </w:p>
    <w:p>
      <w:pPr>
        <w:pStyle w:val="26"/>
        <w:spacing w:line="560" w:lineRule="exact"/>
        <w:ind w:leftChars="0" w:left="0"/>
        <w:rPr>
          <w:rFonts w:eastAsia="仿宋_GB2312" w:cs="仿宋_GB2312" w:hAnsi="仿宋_GB2312" w:hint="eastAsia"/>
          <w:sz w:val="32"/>
          <w:lang w:val="zh-CN"/>
        </w:rPr>
      </w:pPr>
    </w:p>
    <w:p>
      <w:pPr>
        <w:pStyle w:val="26"/>
        <w:spacing w:line="560" w:lineRule="exact"/>
        <w:ind w:leftChars="152" w:left="319" w:firstLineChars="100" w:firstLine="320"/>
        <w:rPr>
          <w:rFonts w:eastAsia="仿宋_GB2312" w:cs="仿宋_GB2312" w:hAnsi="仿宋_GB2312"/>
          <w:sz w:val="32"/>
          <w:lang w:val="zh-CN"/>
        </w:rPr>
      </w:pPr>
      <w:r>
        <w:rPr>
          <w:rFonts w:eastAsia="仿宋_GB2312" w:cs="仿宋_GB2312" w:hAnsi="仿宋_GB2312" w:hint="eastAsia"/>
          <w:sz w:val="32"/>
          <w:lang w:val="zh-CN"/>
        </w:rPr>
        <w:t>附表：市文联</w:t>
      </w:r>
      <w:r>
        <w:rPr>
          <w:rFonts w:eastAsia="仿宋_GB2312" w:cs="仿宋_GB2312" w:hAnsi="仿宋_GB2312" w:hint="eastAsia"/>
          <w:sz w:val="32"/>
        </w:rPr>
        <w:t>部门预算项目支出绩效自评表（2022年度）见附件</w:t>
      </w:r>
    </w:p>
    <w:p>
      <w:pPr>
        <w:pStyle w:val="26"/>
        <w:spacing w:line="560" w:lineRule="exact"/>
        <w:ind w:leftChars="0" w:left="0" w:firstLineChars="0" w:firstLine="0"/>
        <w:rPr>
          <w:sz w:val="32"/>
          <w:lang w:val="zh-CN"/>
        </w:rPr>
      </w:pPr>
    </w:p>
    <w:p>
      <w:pPr>
        <w:pStyle w:val="17"/>
        <w:spacing w:beforeLines="0" w:before="93"/>
        <w:rPr>
          <w:rFonts w:cs="宋体" w:hAnsi="宋体"/>
          <w:sz w:val="32"/>
          <w:szCs w:val="32"/>
          <w:shd w:val="clear" w:color="auto" w:fill="FFFFFF"/>
          <w:lang w:val="zh-CN"/>
        </w:rPr>
      </w:pPr>
    </w:p>
    <w:p>
      <w:pPr>
        <w:pStyle w:val="17"/>
        <w:spacing w:beforeLines="0" w:before="93"/>
        <w:rPr>
          <w:rFonts w:cs="宋体" w:hAnsi="宋体"/>
          <w:sz w:val="32"/>
          <w:szCs w:val="32"/>
          <w:shd w:val="clear" w:color="auto" w:fill="FFFFFF"/>
          <w:lang w:val="zh-CN"/>
        </w:rPr>
      </w:pPr>
    </w:p>
    <w:p>
      <w:pPr>
        <w:pStyle w:val="17"/>
        <w:spacing w:beforeLines="0" w:before="93"/>
        <w:rPr>
          <w:rFonts w:cs="宋体" w:hAnsi="宋体"/>
          <w:sz w:val="32"/>
          <w:szCs w:val="32"/>
          <w:shd w:val="clear" w:color="auto" w:fill="FFFFFF"/>
          <w:lang w:val="zh-CN"/>
        </w:rPr>
      </w:pPr>
    </w:p>
    <w:p>
      <w:pPr>
        <w:pStyle w:val="17"/>
        <w:spacing w:beforeLines="0" w:before="93"/>
        <w:rPr>
          <w:sz w:val="32"/>
          <w:szCs w:val="32"/>
        </w:rPr>
      </w:pPr>
      <w:r>
        <w:rPr>
          <w:rFonts w:cs="宋体" w:hAnsi="宋体" w:hint="eastAsia"/>
          <w:sz w:val="32"/>
          <w:szCs w:val="32"/>
          <w:shd w:val="clear" w:color="auto" w:fill="FFFFFF"/>
          <w:lang w:val="zh-CN"/>
        </w:rPr>
        <w:t>附件</w:t>
      </w:r>
      <w:r>
        <w:rPr>
          <w:rFonts w:cs="宋体" w:hAnsi="宋体" w:hint="eastAsia"/>
          <w:sz w:val="32"/>
          <w:szCs w:val="32"/>
          <w:shd w:val="clear" w:color="auto" w:fill="FFFFFF"/>
        </w:rPr>
        <w:t>2</w:t>
      </w:r>
    </w:p>
    <w:p>
      <w:pPr>
        <w:pStyle w:val="38"/>
        <w:spacing w:line="578" w:lineRule="exact"/>
        <w:jc w:val="center"/>
        <w:rPr>
          <w:rFonts w:ascii="方正小标宋简体" w:eastAsia="方正小标宋简体" w:cs="方正小标宋简体" w:hAnsi="方正小标宋简体" w:hint="eastAsia"/>
          <w:color w:val="auto"/>
          <w:kern w:val="2"/>
          <w:sz w:val="32"/>
          <w:szCs w:val="32"/>
          <w:lang w:val="en-US" w:eastAsia="zh-CN"/>
        </w:rPr>
      </w:pPr>
      <w:r>
        <w:rPr>
          <w:rFonts w:ascii="方正小标宋简体" w:eastAsia="方正小标宋简体" w:cs="方正小标宋简体" w:hAnsi="方正小标宋简体" w:hint="eastAsia"/>
          <w:color w:val="auto"/>
          <w:kern w:val="2"/>
          <w:sz w:val="32"/>
          <w:szCs w:val="32"/>
          <w:lang w:val="en-US"/>
        </w:rPr>
        <w:t>202</w:t>
      </w:r>
      <w:r>
        <w:rPr>
          <w:rFonts w:ascii="方正小标宋简体" w:eastAsia="方正小标宋简体" w:cs="方正小标宋简体" w:hAnsi="方正小标宋简体" w:hint="eastAsia"/>
          <w:color w:val="auto"/>
          <w:kern w:val="2"/>
          <w:sz w:val="32"/>
          <w:szCs w:val="32"/>
          <w:lang w:val="en-US" w:eastAsia="zh-CN"/>
        </w:rPr>
        <w:t>3</w:t>
      </w:r>
      <w:r>
        <w:rPr>
          <w:rFonts w:ascii="方正小标宋简体" w:eastAsia="方正小标宋简体" w:cs="方正小标宋简体" w:hAnsi="方正小标宋简体" w:hint="eastAsia"/>
          <w:color w:val="auto"/>
          <w:kern w:val="2"/>
          <w:sz w:val="32"/>
          <w:szCs w:val="32"/>
          <w:lang w:val="en-US"/>
        </w:rPr>
        <w:t>年</w:t>
      </w:r>
      <w:r>
        <w:rPr>
          <w:rFonts w:ascii="方正小标宋简体" w:eastAsia="方正小标宋简体" w:cs="方正小标宋简体" w:hAnsi="方正小标宋简体" w:hint="eastAsia"/>
          <w:color w:val="auto"/>
          <w:kern w:val="2"/>
          <w:sz w:val="32"/>
          <w:szCs w:val="32"/>
          <w:lang w:val="en-US" w:eastAsia="zh-CN"/>
        </w:rPr>
        <w:t>攀枝花市文学艺术界联合会</w:t>
      </w:r>
    </w:p>
    <w:p>
      <w:pPr>
        <w:pStyle w:val="38"/>
        <w:spacing w:line="578" w:lineRule="exact"/>
        <w:jc w:val="center"/>
        <w:rPr>
          <w:rFonts w:ascii="方正小标宋简体" w:eastAsia="方正小标宋简体" w:cs="方正小标宋简体" w:hAnsi="方正小标宋简体" w:hint="eastAsia"/>
          <w:color w:val="auto"/>
          <w:kern w:val="2"/>
          <w:sz w:val="32"/>
          <w:szCs w:val="32"/>
          <w:lang w:val="en-US"/>
        </w:rPr>
      </w:pPr>
      <w:r>
        <w:rPr>
          <w:rFonts w:ascii="方正小标宋简体" w:eastAsia="方正小标宋简体" w:cs="方正小标宋简体" w:hAnsi="方正小标宋简体" w:hint="eastAsia"/>
          <w:color w:val="auto"/>
          <w:kern w:val="2"/>
          <w:sz w:val="32"/>
          <w:szCs w:val="32"/>
          <w:lang w:val="en-US"/>
        </w:rPr>
        <w:t>市级专项资金预算项目绩效自评报告</w:t>
      </w:r>
    </w:p>
    <w:p>
      <w:pPr>
        <w:pStyle w:val="38"/>
        <w:spacing w:line="578" w:lineRule="exact"/>
        <w:jc w:val="center"/>
        <w:rPr>
          <w:rFonts w:ascii="方正小标宋简体" w:eastAsia="方正小标宋简体" w:cs="方正小标宋简体" w:hAnsi="方正小标宋简体"/>
          <w:color w:val="auto"/>
          <w:kern w:val="2"/>
          <w:sz w:val="32"/>
          <w:szCs w:val="32"/>
          <w:lang w:val="en-US"/>
        </w:rPr>
      </w:pPr>
      <w:r>
        <w:rPr>
          <w:rFonts w:ascii="方正小标宋简体" w:eastAsia="方正小标宋简体" w:cs="方正小标宋简体" w:hAnsi="方正小标宋简体" w:hint="eastAsia"/>
          <w:color w:val="auto"/>
          <w:kern w:val="2"/>
          <w:sz w:val="32"/>
          <w:szCs w:val="32"/>
          <w:lang w:val="en-US" w:eastAsia="zh-CN"/>
        </w:rPr>
        <w:t>（新时代攀枝花精神表述语征集）</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方正公文黑体" w:eastAsia="方正公文黑体" w:cs="方正公文黑体" w:hAnsi="方正公文黑体" w:hint="eastAsia"/>
          <w:caps w:val="0"/>
          <w:smallCaps w:val="0"/>
          <w:color w:val="auto"/>
          <w:kern w:val="2"/>
          <w:sz w:val="33"/>
          <w:szCs w:val="33"/>
          <w:vertAlign w:val="baseline"/>
        </w:rPr>
      </w:pPr>
      <w:r>
        <w:rPr>
          <w:rFonts w:ascii="方正公文黑体" w:eastAsia="方正公文黑体" w:cs="方正公文黑体" w:hAnsi="方正公文黑体"/>
          <w:b w:val="0"/>
          <w:bCs w:val="0"/>
          <w:caps w:val="0"/>
          <w:smallCaps w:val="0"/>
          <w:color w:val="auto"/>
          <w:kern w:val="2"/>
          <w:sz w:val="33"/>
          <w:szCs w:val="33"/>
          <w:vertAlign w:val="baseline"/>
          <w:lang w:val="en-US" w:eastAsia="zh-CN"/>
        </w:rPr>
        <w:t>一、项目概况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方正公文楷体" w:eastAsia="方正公文楷体" w:cs="方正公文楷体" w:hAnsi="方正公文楷体" w:hint="eastAsia"/>
          <w:b/>
          <w:bCs/>
          <w:caps w:val="0"/>
          <w:smallCaps w:val="0"/>
          <w:color w:val="auto"/>
          <w:kern w:val="2"/>
          <w:sz w:val="33"/>
          <w:szCs w:val="33"/>
          <w:vertAlign w:val="baseline"/>
        </w:rPr>
      </w:pPr>
      <w:r>
        <w:rPr>
          <w:rFonts w:ascii="方正公文楷体" w:eastAsia="方正公文楷体" w:cs="方正公文楷体" w:hAnsi="方正公文楷体"/>
          <w:b/>
          <w:bCs/>
          <w:caps w:val="0"/>
          <w:smallCaps w:val="0"/>
          <w:color w:val="auto"/>
          <w:kern w:val="2"/>
          <w:sz w:val="33"/>
          <w:szCs w:val="33"/>
          <w:vertAlign w:val="baseline"/>
          <w:lang w:val="en-US" w:eastAsia="zh-CN"/>
        </w:rPr>
        <w:t>（一）项目基本情况。</w:t>
      </w:r>
    </w:p>
    <w:p>
      <w:pPr>
        <w:widowControl/>
        <w:adjustRightInd w:val="0"/>
        <w:snapToGrid w:val="0"/>
        <w:spacing w:line="578" w:lineRule="exact"/>
        <w:ind w:firstLineChars="200" w:firstLine="660"/>
        <w:contextualSpacing/>
        <w:jc w:val="left"/>
        <w:rPr>
          <w:rFonts w:ascii="仿宋_GB2312" w:eastAsia="仿宋_GB2312" w:cs="仿宋_GB2312" w:hAnsi="仿宋_GB2312" w:hint="eastAsia"/>
          <w:kern w:val="0"/>
          <w:sz w:val="32"/>
          <w:szCs w:val="32"/>
          <w:shd w:val="clear" w:color="auto" w:fill="FFFFFF"/>
          <w:lang w:val="zh-CN"/>
        </w:rPr>
      </w:pPr>
      <w:r>
        <w:rPr>
          <w:rFonts w:ascii="方正仿宋_GBK" w:eastAsia="方正仿宋_GBK" w:cs="方正仿宋_GBK" w:hAnsi="方正仿宋_GBK" w:hint="eastAsia"/>
          <w:b w:val="0"/>
          <w:bCs w:val="0"/>
          <w:caps w:val="0"/>
          <w:smallCaps w:val="0"/>
          <w:color w:val="auto"/>
          <w:kern w:val="2"/>
          <w:sz w:val="33"/>
          <w:szCs w:val="33"/>
          <w:vertAlign w:val="baseline"/>
          <w:lang w:val="en-US" w:eastAsia="zh-CN"/>
        </w:rPr>
        <w:t>1．</w:t>
      </w:r>
      <w:r>
        <w:rPr>
          <w:rFonts w:ascii="仿宋_GB2312" w:eastAsia="仿宋_GB2312" w:cs="仿宋_GB2312" w:hAnsi="仿宋_GB2312" w:hint="eastAsia"/>
          <w:kern w:val="0"/>
          <w:sz w:val="32"/>
          <w:szCs w:val="32"/>
          <w:shd w:val="clear" w:color="auto" w:fill="FFFFFF"/>
          <w:lang w:val="en-US" w:eastAsia="zh-CN"/>
        </w:rPr>
        <w:t>项目主管部门（单位）在该项目管理中的职能。</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中共攀枝花市委宣传部于2022年3月7日印发了《关于成立凝练新时代攀枝花精神工作协调小组的通知》，为更好地推进凝练新时代攀枝花精神工作，市委决定成立凝练新时代攀枝花精神工作协调小组。 协调小组下设办公室在市文联，赖小红任办公室主任，王棣、杨焕春任办公室副主任。</w:t>
      </w:r>
    </w:p>
    <w:p>
      <w:pPr>
        <w:widowControl/>
        <w:adjustRightInd w:val="0"/>
        <w:snapToGrid w:val="0"/>
        <w:spacing w:line="578" w:lineRule="exact"/>
        <w:contextualSpacing/>
        <w:jc w:val="left"/>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市文联起草印发了《新时代攀枝花精神凝练表述语征集研讨论证工作实施方案》《新时代攀枝花城市精神凝练宣传工作方案》《关于开展“我心中的新时代攀枝花精神”问卷调查的通知》《关于开展新时代攀枝花精神表述语征集活动的通知》《关于审定&lt;新时代攀枝花精神表述语征集启事&gt;的请示》《新时代攀枝花精神表述语征集作品网络投票启事》《关于召开庆祝攀枝花建市57周年暨凝炼新时代攀枝花精神专题座谈会的通知》《新时代攀枝花精神表述语情况汇总表》《新时代攀枝花精神表述语作品征集评审结果公示》《新时代攀枝花精神表述语作品征集拟获奖名单公示》《新时代攀枝花精神凝炼表述语征集研讨论证工作实施方案》 《关于新时代攀枝花精神表述语征集工作的报告》《凝练新时代攀枝花精神工作协调小组办公室关于开展新时代攀枝花精神候选表述语研讨研讨论证的通知》《关于新时代攀枝花精神候选表述语面向社会征求意见的启事》《凝练新时代攀枝花精神协调小组关于审定新时代攀枝花精神候选表述语网络投票结果的请示》等文件。</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新时代攀枝花精神表述语凝练工作前期进行了组织宣传、民意调查、专题研究，后期完成了征集、评审、公示、研讨、论证、网络投票工作，向市委报送了《关于审定新时代攀枝花精神候选表述语网络投票结果的请示》，建议将表述语“攀登、创新、阳光、包容”提请市委批准，形成新时代攀枝花精神，并提交市人大组织审议，通过法定程序确立新时代攀枝花精神。</w:t>
      </w:r>
    </w:p>
    <w:p>
      <w:pPr>
        <w:keepNext w:val="0"/>
        <w:keepLines w:val="0"/>
        <w:pageBreakBefore w:val="0"/>
        <w:widowControl w:val="0"/>
        <w:numPr>
          <w:ilvl w:val="0"/>
          <w:numId w:val="8"/>
        </w:numPr>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方正仿宋_GBK" w:eastAsia="方正仿宋_GBK" w:cs="方正仿宋_GBK" w:hAnsi="方正仿宋_GBK" w:hint="eastAsia"/>
          <w:b w:val="0"/>
          <w:bCs w:val="0"/>
          <w:caps w:val="0"/>
          <w:smallCaps w:val="0"/>
          <w:color w:val="auto"/>
          <w:kern w:val="2"/>
          <w:sz w:val="33"/>
          <w:szCs w:val="33"/>
          <w:vertAlign w:val="baseline"/>
        </w:rPr>
      </w:pPr>
      <w:r>
        <w:rPr>
          <w:rFonts w:ascii="方正仿宋_GBK" w:eastAsia="方正仿宋_GBK" w:cs="方正仿宋_GBK" w:hAnsi="方正仿宋_GBK" w:hint="eastAsia"/>
          <w:b w:val="0"/>
          <w:bCs w:val="0"/>
          <w:caps w:val="0"/>
          <w:smallCaps w:val="0"/>
          <w:color w:val="auto"/>
          <w:kern w:val="2"/>
          <w:sz w:val="33"/>
          <w:szCs w:val="33"/>
          <w:vertAlign w:val="baseline"/>
          <w:lang w:val="en-US" w:eastAsia="zh-CN"/>
        </w:rPr>
        <w:t>项目立项、资金申报的依据。</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中共攀枝花市委宣传部向市政府报送了《关于新时代攀枝花精神凝练工作经费的请示》（攀委宣〔2022〕4号）文件，为确保新时代攀枝花精神凝练工作有序推进，特报请支持相关工作经费41.8万元，其中调研论证经费22.1万元（包括面向社会征集城市精神表述语经费7.1万元、调研论证经费15万元）、宣传推介经费19.7万元。后市财政通过攀财资教【2022】59号追加功能科目2013399-其他宣传事务支出新时代攀枝花精神凝练工作经费10万元。</w:t>
      </w:r>
    </w:p>
    <w:p>
      <w:pPr>
        <w:widowControl/>
        <w:adjustRightInd w:val="0"/>
        <w:snapToGrid w:val="0"/>
        <w:spacing w:line="578" w:lineRule="exact"/>
        <w:ind w:firstLineChars="200" w:firstLine="660"/>
        <w:contextualSpacing/>
        <w:jc w:val="left"/>
        <w:rPr>
          <w:rFonts w:ascii="仿宋_GB2312" w:eastAsia="仿宋_GB2312" w:cs="仿宋_GB2312" w:hAnsi="仿宋_GB2312" w:hint="eastAsia"/>
          <w:kern w:val="0"/>
          <w:sz w:val="32"/>
          <w:szCs w:val="32"/>
          <w:shd w:val="clear" w:color="auto" w:fill="FFFFFF"/>
          <w:lang w:val="en-US" w:eastAsia="zh-CN"/>
        </w:rPr>
      </w:pPr>
      <w:r>
        <w:rPr>
          <w:rFonts w:ascii="方正仿宋_GBK" w:eastAsia="方正仿宋_GBK" w:cs="方正仿宋_GBK" w:hAnsi="方正仿宋_GBK" w:hint="eastAsia"/>
          <w:b w:val="0"/>
          <w:bCs w:val="0"/>
          <w:caps w:val="0"/>
          <w:smallCaps w:val="0"/>
          <w:color w:val="auto"/>
          <w:kern w:val="2"/>
          <w:sz w:val="33"/>
          <w:szCs w:val="33"/>
          <w:vertAlign w:val="baseline"/>
          <w:lang w:val="en-US" w:eastAsia="zh-CN"/>
        </w:rPr>
        <w:t>3．</w:t>
      </w:r>
      <w:r>
        <w:rPr>
          <w:rFonts w:ascii="仿宋_GB2312" w:eastAsia="仿宋_GB2312" w:cs="仿宋_GB2312" w:hAnsi="仿宋_GB2312" w:hint="eastAsia"/>
          <w:kern w:val="0"/>
          <w:sz w:val="32"/>
          <w:szCs w:val="32"/>
          <w:shd w:val="clear" w:color="auto" w:fill="FFFFFF"/>
          <w:lang w:val="en-US" w:eastAsia="zh-CN"/>
        </w:rPr>
        <w:t>资金管理办法制定情况，资金支持具体项目的条件、范围与支持方式概况。</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en-US" w:eastAsia="zh-CN"/>
        </w:rPr>
      </w:pPr>
      <w:r>
        <w:rPr>
          <w:rFonts w:ascii="仿宋_GB2312" w:eastAsia="仿宋_GB2312" w:cs="仿宋_GB2312" w:hAnsi="仿宋_GB2312" w:hint="eastAsia"/>
          <w:kern w:val="0"/>
          <w:sz w:val="32"/>
          <w:szCs w:val="32"/>
          <w:shd w:val="clear" w:color="auto" w:fill="FFFFFF"/>
          <w:lang w:val="en-US" w:eastAsia="zh-CN"/>
        </w:rPr>
        <w:t>本项目执行方案报经党组会审议通过，用于凝练新时代攀枝花精神表述语征集活动使用，包括面向社会征集攀枝花精神表述语经费(包括攀枝花精神表述语征集评审经费、邀请的省级评审专家来攀差旅费和优秀稿件奖励经费）、会议经费等费用。</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0"/>
        <w:jc w:val="both"/>
        <w:outlineLvl w:val="9"/>
        <w:rPr>
          <w:rFonts w:ascii="方正仿宋_GBK" w:eastAsia="方正仿宋_GBK" w:cs="方正仿宋_GBK" w:hAnsi="方正仿宋_GBK" w:hint="eastAsia"/>
          <w:caps w:val="0"/>
          <w:smallCaps w:val="0"/>
          <w:color w:val="auto"/>
          <w:kern w:val="2"/>
          <w:sz w:val="33"/>
          <w:szCs w:val="33"/>
          <w:vertAlign w:val="baseline"/>
        </w:rPr>
      </w:pPr>
      <w:r>
        <w:rPr>
          <w:rFonts w:ascii="方正仿宋_GBK" w:eastAsia="方正仿宋_GBK" w:cs="方正仿宋_GBK" w:hAnsi="方正仿宋_GBK" w:hint="eastAsia"/>
          <w:b w:val="0"/>
          <w:bCs w:val="0"/>
          <w:caps w:val="0"/>
          <w:smallCaps w:val="0"/>
          <w:color w:val="auto"/>
          <w:kern w:val="2"/>
          <w:sz w:val="33"/>
          <w:szCs w:val="33"/>
          <w:vertAlign w:val="baseline"/>
          <w:lang w:val="en-US" w:eastAsia="zh-CN"/>
        </w:rPr>
        <w:t xml:space="preserve">   4.资金分配的原则及考虑因素。</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0"/>
        <w:jc w:val="both"/>
        <w:outlineLvl w:val="9"/>
        <w:rPr>
          <w:rFonts w:ascii="方正仿宋_GBK" w:eastAsia="方正仿宋_GBK" w:cs="方正仿宋_GBK" w:hAnsi="方正仿宋_GBK" w:hint="eastAsia"/>
          <w:caps w:val="0"/>
          <w:smallCaps w:val="0"/>
          <w:color w:val="auto"/>
          <w:kern w:val="2"/>
          <w:sz w:val="33"/>
          <w:szCs w:val="33"/>
          <w:vertAlign w:val="baseline"/>
        </w:rPr>
      </w:pPr>
      <w:r>
        <w:rPr>
          <w:rFonts w:ascii="方正仿宋_GBK" w:eastAsia="方正仿宋_GBK" w:cs="方正仿宋_GBK" w:hAnsi="方正仿宋_GBK" w:hint="eastAsia"/>
          <w:b w:val="0"/>
          <w:bCs w:val="0"/>
          <w:caps w:val="0"/>
          <w:smallCaps w:val="0"/>
          <w:color w:val="auto"/>
          <w:kern w:val="2"/>
          <w:sz w:val="33"/>
          <w:szCs w:val="33"/>
          <w:vertAlign w:val="baseline"/>
          <w:lang w:val="en-US" w:eastAsia="zh-CN"/>
        </w:rPr>
        <w:t xml:space="preserve">   </w:t>
      </w:r>
      <w:r>
        <w:rPr>
          <w:rFonts w:ascii="仿宋_GB2312" w:eastAsia="仿宋_GB2312" w:cs="仿宋_GB2312" w:hAnsi="仿宋_GB2312" w:hint="eastAsia"/>
          <w:kern w:val="0"/>
          <w:sz w:val="32"/>
          <w:szCs w:val="32"/>
          <w:shd w:val="clear" w:color="auto" w:fill="FFFFFF"/>
          <w:lang w:val="en-US" w:eastAsia="zh-CN"/>
        </w:rPr>
        <w:t>遵循财经纪律的前提下，落实政府部门过紧日子要求，最大限度压缩经费，注重投入产出比；参考同行业同类文艺活动经费标准和预算总额下达情况，在预算范围内进行资金分配。</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方正公文楷体" w:eastAsia="方正公文楷体" w:cs="方正公文楷体" w:hAnsi="方正公文楷体" w:hint="eastAsia"/>
          <w:b/>
          <w:bCs/>
          <w:caps w:val="0"/>
          <w:smallCaps w:val="0"/>
          <w:color w:val="auto"/>
          <w:kern w:val="2"/>
          <w:sz w:val="33"/>
          <w:szCs w:val="33"/>
          <w:vertAlign w:val="baseline"/>
        </w:rPr>
      </w:pPr>
      <w:r>
        <w:rPr>
          <w:rFonts w:ascii="方正公文楷体" w:eastAsia="方正公文楷体" w:cs="方正公文楷体" w:hAnsi="方正公文楷体" w:hint="eastAsia"/>
          <w:b/>
          <w:bCs/>
          <w:caps w:val="0"/>
          <w:smallCaps w:val="0"/>
          <w:color w:val="auto"/>
          <w:kern w:val="2"/>
          <w:sz w:val="33"/>
          <w:szCs w:val="33"/>
          <w:vertAlign w:val="baseline"/>
          <w:lang w:val="en-US" w:eastAsia="zh-CN"/>
        </w:rPr>
        <w:t>（二）项目绩效目标。</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zh-CN" w:eastAsia="zh-CN"/>
        </w:rPr>
      </w:pPr>
      <w:r>
        <w:rPr>
          <w:rFonts w:ascii="仿宋_GB2312" w:eastAsia="仿宋_GB2312" w:cs="仿宋_GB2312" w:hAnsi="仿宋_GB2312" w:hint="eastAsia"/>
          <w:kern w:val="0"/>
          <w:sz w:val="32"/>
          <w:szCs w:val="32"/>
          <w:shd w:val="clear" w:color="auto" w:fill="FFFFFF"/>
          <w:lang w:val="en-US" w:eastAsia="zh-CN"/>
        </w:rPr>
        <w:t>1. 项目主要内容。</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zh-CN" w:eastAsia="zh-CN"/>
        </w:rPr>
      </w:pPr>
      <w:r>
        <w:rPr>
          <w:rFonts w:ascii="仿宋_GB2312" w:eastAsia="仿宋_GB2312" w:cs="仿宋_GB2312" w:hAnsi="仿宋_GB2312" w:hint="eastAsia"/>
          <w:kern w:val="0"/>
          <w:sz w:val="32"/>
          <w:szCs w:val="32"/>
          <w:shd w:val="clear" w:color="auto" w:fill="FFFFFF"/>
          <w:lang w:val="en-US" w:eastAsia="zh-CN"/>
        </w:rPr>
        <w:t>2022年2月10日，市委宣传部向市委报送了《关于开展新时代攀枝花城市精神凝练的请示》，市政协十届一次会议小组会议上对凝练新的攀枝花城市精神提出了要求，经市委宣传部深入研讨，起草了《关于凝练新时代攀枝花城市精神实施方案》（送审稿），予以呈上。市委书记张正红同志于2月17日做了批阅。</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zh-CN" w:eastAsia="zh-CN"/>
        </w:rPr>
      </w:pPr>
      <w:r>
        <w:rPr>
          <w:rFonts w:ascii="仿宋_GB2312" w:eastAsia="仿宋_GB2312" w:cs="仿宋_GB2312" w:hAnsi="仿宋_GB2312" w:hint="eastAsia"/>
          <w:kern w:val="0"/>
          <w:sz w:val="32"/>
          <w:szCs w:val="32"/>
          <w:shd w:val="clear" w:color="auto" w:fill="FFFFFF"/>
          <w:lang w:val="en-US" w:eastAsia="zh-CN"/>
        </w:rPr>
        <w:t>为贯彻落实市第十一次党代会提出“坚持传承历史、反映当前、引领未来，培育新的城市文化、凝练新的城市精神，增强城市影响力、凝聚力和感召力”的要求，应对攀枝花未来发展，创造攀枝花独具特色的‘城市语言’”，进一步塑造城市形象、丰富城市内涵、彰显城市品格、提升城市“软实力”，凝聚和团结全市干部群众为加快建设川西南滇西北现代化区域中心城市目标而奋斗，特制定了《关于凝练新时代攀枝花城市精神实施方案》。后中共攀枝花市委宣传部于2022年3月7日印发了《关于成立凝练新时代攀枝花精神工作协调小组的通知》，协调小组下设办公室在市文联，赖小红任办公室主任。</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zh-CN" w:eastAsia="zh-CN"/>
        </w:rPr>
      </w:pPr>
      <w:r>
        <w:rPr>
          <w:rFonts w:ascii="仿宋_GB2312" w:eastAsia="仿宋_GB2312" w:cs="仿宋_GB2312" w:hAnsi="仿宋_GB2312" w:hint="eastAsia"/>
          <w:kern w:val="0"/>
          <w:sz w:val="32"/>
          <w:szCs w:val="32"/>
          <w:shd w:val="clear" w:color="auto" w:fill="FFFFFF"/>
          <w:lang w:val="en-US" w:eastAsia="zh-CN"/>
        </w:rPr>
        <w:t>新时代攀枝花精神表述语凝练工作前期进行了组织宣传、民意调查、专题研究，后期完成了征集、评审、公示、研讨、论证、网络投票工作，向市委报送了《关于审定新时代攀枝花精神候选表述语网络投票结果的请示》，建议将表述语“攀登、创新、阳光、包容”提请市委批准，形成新时代攀枝花精神，并提交市人大组织审议，通过法定程序确立新时代攀枝花精神。</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zh-CN" w:eastAsia="zh-CN"/>
        </w:rPr>
      </w:pPr>
      <w:r>
        <w:rPr>
          <w:rFonts w:ascii="仿宋_GB2312" w:eastAsia="仿宋_GB2312" w:cs="仿宋_GB2312" w:hAnsi="仿宋_GB2312" w:hint="eastAsia"/>
          <w:kern w:val="0"/>
          <w:sz w:val="32"/>
          <w:szCs w:val="32"/>
          <w:shd w:val="clear" w:color="auto" w:fill="FFFFFF"/>
          <w:lang w:val="en-US" w:eastAsia="zh-CN"/>
        </w:rPr>
        <w:t>目前，表述语“攀登、创新、阳光、包容”已经市委同意，下一步要做好宣传工作，形成社会共识。</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2. 项目应实现的具体绩效目标。</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en-US" w:eastAsia="zh-CN"/>
        </w:rPr>
      </w:pPr>
      <w:r>
        <w:rPr>
          <w:rFonts w:ascii="仿宋_GB2312" w:eastAsia="仿宋_GB2312" w:cs="仿宋_GB2312" w:hAnsi="仿宋_GB2312" w:hint="eastAsia"/>
          <w:kern w:val="0"/>
          <w:sz w:val="32"/>
          <w:szCs w:val="32"/>
          <w:shd w:val="clear" w:color="auto" w:fill="FFFFFF"/>
          <w:lang w:val="en-US" w:eastAsia="zh-CN"/>
        </w:rPr>
        <w:t>坚持以习近平新时代中国特色社会主义思想为指导，紧紧围绕市委总体发展战略，坚持传承历史、反映当前、引领未来，精心凝练新时代攀枝花精神，深入开展宣传教育，在全社会形成新时代攀枝花精神的广泛认知和共识，引领社会风气向上、向善、向美，凝聚起推动攀枝花加快建设川西南滇西北现代化区域中心城市的强大合力。</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en-US" w:eastAsia="zh-CN"/>
        </w:rPr>
      </w:pPr>
      <w:r>
        <w:rPr>
          <w:rFonts w:ascii="仿宋_GB2312" w:eastAsia="仿宋_GB2312" w:cs="仿宋_GB2312" w:hAnsi="仿宋_GB2312" w:hint="eastAsia"/>
          <w:kern w:val="0"/>
          <w:sz w:val="32"/>
          <w:szCs w:val="32"/>
          <w:shd w:val="clear" w:color="auto" w:fill="FFFFFF"/>
          <w:lang w:val="en-US" w:eastAsia="zh-CN"/>
        </w:rPr>
        <w:t>3.分析评价申报内容是否与实际相符，申报目标是否合理可行。</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en-US" w:eastAsia="zh-CN"/>
        </w:rPr>
      </w:pPr>
      <w:r>
        <w:rPr>
          <w:rFonts w:ascii="仿宋_GB2312" w:eastAsia="仿宋_GB2312" w:cs="仿宋_GB2312" w:hAnsi="仿宋_GB2312" w:hint="eastAsia"/>
          <w:kern w:val="0"/>
          <w:sz w:val="32"/>
          <w:szCs w:val="32"/>
          <w:shd w:val="clear" w:color="auto" w:fill="FFFFFF"/>
          <w:lang w:val="en-US" w:eastAsia="zh-CN"/>
        </w:rPr>
        <w:t>评价申报内容与实际相符，申报目标合理可行。</w:t>
      </w:r>
    </w:p>
    <w:p>
      <w:pPr>
        <w:adjustRightInd w:val="0"/>
        <w:snapToGrid w:val="0"/>
        <w:spacing w:line="578" w:lineRule="exact"/>
        <w:ind w:firstLine="720"/>
        <w:rPr>
          <w:rFonts w:ascii="楷体_GB2312" w:eastAsia="楷体_GB2312" w:hAnsi="宋体" w:hint="eastAsia"/>
          <w:b/>
          <w:sz w:val="32"/>
          <w:szCs w:val="32"/>
          <w:lang w:val="zh-CN"/>
        </w:rPr>
      </w:pPr>
      <w:r>
        <w:rPr>
          <w:rFonts w:ascii="楷体_GB2312" w:eastAsia="楷体_GB2312" w:hAnsi="宋体" w:hint="eastAsia"/>
          <w:b/>
          <w:sz w:val="32"/>
          <w:szCs w:val="32"/>
          <w:lang w:val="en-US" w:eastAsia="zh-CN"/>
        </w:rPr>
        <w:t>（三）项目自评步骤及方法。</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按照财政部门下发的《2023年市级专项预算项目支出绩效评价指标体系》，针对项目决策、项目实施、完成结果、目标发展、个性指标等做出自我评价、自评打分，撰写自评报告。</w:t>
      </w:r>
    </w:p>
    <w:p>
      <w:pPr>
        <w:adjustRightInd w:val="0"/>
        <w:snapToGrid w:val="0"/>
        <w:spacing w:line="578" w:lineRule="exact"/>
        <w:ind w:firstLine="720"/>
        <w:rPr>
          <w:rFonts w:ascii="黑体" w:eastAsia="黑体" w:hAnsi="宋体" w:hint="eastAsia"/>
          <w:sz w:val="32"/>
          <w:szCs w:val="32"/>
        </w:rPr>
      </w:pPr>
      <w:r>
        <w:rPr>
          <w:rFonts w:ascii="黑体" w:eastAsia="黑体" w:hAnsi="宋体" w:hint="eastAsia"/>
          <w:sz w:val="32"/>
          <w:szCs w:val="32"/>
          <w:lang w:val="en-US" w:eastAsia="zh-CN"/>
        </w:rPr>
        <w:t>二、项目资金申报及使用情况</w:t>
      </w:r>
    </w:p>
    <w:p>
      <w:pPr>
        <w:adjustRightInd w:val="0"/>
        <w:snapToGrid w:val="0"/>
        <w:spacing w:line="578" w:lineRule="exact"/>
        <w:ind w:firstLine="720"/>
        <w:rPr>
          <w:rFonts w:ascii="楷体_GB2312" w:eastAsia="楷体_GB2312" w:hAnsi="宋体" w:hint="eastAsia"/>
          <w:b/>
          <w:sz w:val="32"/>
          <w:szCs w:val="32"/>
          <w:lang w:val="zh-CN"/>
        </w:rPr>
      </w:pPr>
      <w:r>
        <w:rPr>
          <w:rFonts w:ascii="楷体_GB2312" w:eastAsia="楷体_GB2312" w:hAnsi="宋体" w:hint="eastAsia"/>
          <w:b/>
          <w:sz w:val="32"/>
          <w:szCs w:val="32"/>
          <w:lang w:val="en-US" w:eastAsia="zh-CN"/>
        </w:rPr>
        <w:t>（一）项目资金申报及批复情况。</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根据攀财资教【2022】59号追加功能科目2013399-其他宣传事务支出新时代攀枝花精神凝练工作经费10万元。经费下达后相关业务科室及时向市文联党组汇报，及时拨付了相关稿费、评审费、差旅费、会议费等费用。</w:t>
      </w:r>
    </w:p>
    <w:p>
      <w:pPr>
        <w:adjustRightInd w:val="0"/>
        <w:snapToGrid w:val="0"/>
        <w:spacing w:line="578" w:lineRule="exact"/>
        <w:ind w:firstLine="720"/>
        <w:rPr>
          <w:rFonts w:ascii="楷体_GB2312" w:eastAsia="楷体_GB2312" w:hAnsi="宋体" w:hint="eastAsia"/>
          <w:b/>
          <w:sz w:val="32"/>
          <w:szCs w:val="32"/>
          <w:lang w:val="zh-CN"/>
        </w:rPr>
      </w:pPr>
      <w:r>
        <w:rPr>
          <w:rFonts w:ascii="楷体_GB2312" w:eastAsia="楷体_GB2312" w:hAnsi="宋体" w:hint="eastAsia"/>
          <w:b/>
          <w:sz w:val="32"/>
          <w:szCs w:val="32"/>
          <w:lang w:val="en-US" w:eastAsia="zh-CN"/>
        </w:rPr>
        <w:t>（二）资金计划、到位及使用情况。</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1．资金计划。该项目下达预算金额为10.00万元，资金来源为市级财政资金，在2022年下达市文联的其他宣传事务支出中予以列支。项目完成后，市文联支付了相关稿费、评审费、差旅费、会议费等。</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2．资金到位。市级财政资金下达及时。</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3.资金使用。2022年度项目资金支付率为100%，在资金支付使用上，按照项目开展进度进行支付。依照我市财经纪律规定和市文联财务要求、内控管理规定，从严审核经费支出；坚持“三重一大”事项由党组会集体研究决定；项目经费预决算在公共平台依法公开，经费使用情况接受监督，确保经费支出合规合法，与预算相符。</w:t>
      </w:r>
    </w:p>
    <w:p>
      <w:pPr>
        <w:adjustRightInd w:val="0"/>
        <w:snapToGrid w:val="0"/>
        <w:spacing w:line="578" w:lineRule="exact"/>
        <w:ind w:firstLine="720"/>
        <w:rPr>
          <w:rFonts w:ascii="楷体_GB2312" w:eastAsia="楷体_GB2312" w:hAnsi="宋体" w:hint="eastAsia"/>
          <w:b/>
          <w:sz w:val="32"/>
          <w:szCs w:val="32"/>
          <w:lang w:val="zh-CN"/>
        </w:rPr>
      </w:pPr>
      <w:r>
        <w:rPr>
          <w:rFonts w:ascii="楷体_GB2312" w:eastAsia="楷体_GB2312" w:hAnsi="宋体" w:hint="eastAsia"/>
          <w:b/>
          <w:sz w:val="32"/>
          <w:szCs w:val="32"/>
          <w:lang w:val="en-US" w:eastAsia="zh-CN"/>
        </w:rPr>
        <w:t>（三）项目财务管理情况。</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市文联财务管理制度健全且严格执行财务管理制度，账务处理及时，会计核算规范。</w:t>
      </w:r>
    </w:p>
    <w:p>
      <w:pPr>
        <w:adjustRightInd w:val="0"/>
        <w:snapToGrid w:val="0"/>
        <w:spacing w:line="578" w:lineRule="exact"/>
        <w:ind w:firstLine="720"/>
        <w:rPr>
          <w:rFonts w:ascii="黑体" w:eastAsia="黑体" w:hAnsi="宋体" w:hint="eastAsia"/>
          <w:sz w:val="32"/>
          <w:szCs w:val="32"/>
        </w:rPr>
      </w:pPr>
      <w:r>
        <w:rPr>
          <w:rFonts w:ascii="黑体" w:eastAsia="黑体" w:hAnsi="宋体" w:hint="eastAsia"/>
          <w:sz w:val="32"/>
          <w:szCs w:val="32"/>
          <w:lang w:val="en-US" w:eastAsia="zh-CN"/>
        </w:rPr>
        <w:t>三、项目实施及管理情况。</w:t>
      </w:r>
    </w:p>
    <w:p>
      <w:pPr>
        <w:adjustRightInd w:val="0"/>
        <w:snapToGrid w:val="0"/>
        <w:spacing w:line="578" w:lineRule="exact"/>
        <w:ind w:firstLine="720"/>
        <w:rPr>
          <w:rFonts w:ascii="楷体_GB2312" w:eastAsia="楷体_GB2312" w:hAnsi="宋体" w:hint="eastAsia"/>
          <w:b/>
          <w:sz w:val="32"/>
          <w:szCs w:val="32"/>
          <w:lang w:val="zh-CN"/>
        </w:rPr>
      </w:pPr>
      <w:r>
        <w:rPr>
          <w:rFonts w:ascii="楷体_GB2312" w:eastAsia="楷体_GB2312" w:hAnsi="宋体" w:hint="eastAsia"/>
          <w:b/>
          <w:sz w:val="32"/>
          <w:szCs w:val="32"/>
          <w:lang w:val="en-US" w:eastAsia="zh-CN"/>
        </w:rPr>
        <w:t>（一）项目组织架构及实施流程。</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Chars="200" w:firstLine="660"/>
        <w:jc w:val="left"/>
        <w:outlineLvl w:val="9"/>
        <w:rPr>
          <w:rFonts w:ascii="方正仿宋_GBK" w:eastAsia="方正仿宋_GBK" w:cs="方正仿宋_GBK" w:hAnsi="方正仿宋_GBK" w:hint="eastAsia"/>
          <w:b/>
          <w:bCs/>
          <w:caps w:val="0"/>
          <w:smallCaps w:val="0"/>
          <w:color w:val="auto"/>
          <w:kern w:val="2"/>
          <w:sz w:val="33"/>
          <w:szCs w:val="33"/>
          <w:vertAlign w:val="baseline"/>
        </w:rPr>
      </w:pPr>
      <w:r>
        <w:rPr>
          <w:rFonts w:ascii="方正仿宋_GBK" w:eastAsia="方正仿宋_GBK" w:cs="方正仿宋_GBK" w:hAnsi="方正仿宋_GBK" w:hint="eastAsia"/>
          <w:b w:val="0"/>
          <w:bCs w:val="0"/>
          <w:caps w:val="0"/>
          <w:smallCaps w:val="0"/>
          <w:color w:val="auto"/>
          <w:kern w:val="0"/>
          <w:sz w:val="33"/>
          <w:szCs w:val="33"/>
          <w:vertAlign w:val="baseline"/>
          <w:lang w:val="en-US" w:eastAsia="zh-CN"/>
        </w:rPr>
        <w:t>由财务室协同组织联络科，根据项目绩效评价体系，结合项目取得的实际效益进行自评打分，撰写自评报告。</w:t>
      </w:r>
    </w:p>
    <w:p>
      <w:pPr>
        <w:adjustRightInd w:val="0"/>
        <w:snapToGrid w:val="0"/>
        <w:spacing w:line="578" w:lineRule="exact"/>
        <w:ind w:firstLine="720"/>
        <w:rPr>
          <w:rFonts w:ascii="楷体_GB2312" w:eastAsia="楷体_GB2312" w:hAnsi="宋体" w:hint="eastAsia"/>
          <w:b/>
          <w:sz w:val="32"/>
          <w:szCs w:val="32"/>
          <w:lang w:val="zh-CN"/>
        </w:rPr>
      </w:pPr>
      <w:r>
        <w:rPr>
          <w:rFonts w:ascii="楷体_GB2312" w:eastAsia="楷体_GB2312" w:hAnsi="宋体" w:hint="eastAsia"/>
          <w:b/>
          <w:sz w:val="32"/>
          <w:szCs w:val="32"/>
          <w:lang w:val="en-US" w:eastAsia="zh-CN"/>
        </w:rPr>
        <w:t>（二）项目管理情况。</w:t>
      </w:r>
    </w:p>
    <w:p>
      <w:pPr>
        <w:adjustRightInd w:val="0"/>
        <w:snapToGrid w:val="0"/>
        <w:spacing w:line="578" w:lineRule="exact"/>
        <w:ind w:firstLine="720"/>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新时代攀枝花精神表述语征集工作从2022年3月30日启动以来，通过组织宣传、征集，截止5月31日结束。截止5月31日，新时代攀枝花精神表述语征集共收到表述语1797条。表述语通俗易懂、字数都控制在16字以内。对表述语精神内涵，都附有简明扼要的诠释和创意说明。此次活动组织高效，响应广泛，参与积极，质量较高，成效明显。业务科室执行项目过程中严格遵守财经纪律，项目开展有序，按时间节奏顺利推进，确保项目工作于年底前圆满完成。将项目绩效管理贯穿于事前、事中、事后评价。事前由党组会审议、事中绩效监控、事后绩效自评。</w:t>
      </w:r>
    </w:p>
    <w:p>
      <w:pPr>
        <w:adjustRightInd w:val="0"/>
        <w:snapToGrid w:val="0"/>
        <w:spacing w:line="578" w:lineRule="exact"/>
        <w:ind w:firstLine="720"/>
        <w:rPr>
          <w:rFonts w:ascii="楷体_GB2312" w:eastAsia="楷体_GB2312" w:hAnsi="宋体" w:hint="eastAsia"/>
          <w:b/>
          <w:sz w:val="32"/>
          <w:szCs w:val="32"/>
          <w:lang w:val="zh-CN"/>
        </w:rPr>
      </w:pPr>
      <w:r>
        <w:rPr>
          <w:rFonts w:ascii="楷体_GB2312" w:eastAsia="楷体_GB2312" w:hAnsi="宋体" w:hint="eastAsia"/>
          <w:b/>
          <w:sz w:val="32"/>
          <w:szCs w:val="32"/>
          <w:lang w:val="en-US" w:eastAsia="zh-CN"/>
        </w:rPr>
        <w:t>（三)项目监管情况。</w:t>
      </w:r>
    </w:p>
    <w:p>
      <w:pPr>
        <w:adjustRightInd w:val="0"/>
        <w:snapToGrid w:val="0"/>
        <w:spacing w:line="578" w:lineRule="exact"/>
        <w:ind w:firstLine="720"/>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项目资金按项目执行进度情况支付，资金使用情况通过预决算公开。重大经费开支由党组会集体决议，经费开支由市文联财务统一核算。市文联统筹推进项目实施，各部室院具体承办，全员配合。</w:t>
      </w:r>
    </w:p>
    <w:p>
      <w:pPr>
        <w:adjustRightInd w:val="0"/>
        <w:snapToGrid w:val="0"/>
        <w:spacing w:line="578" w:lineRule="exact"/>
        <w:ind w:firstLine="720"/>
        <w:rPr>
          <w:rFonts w:ascii="黑体" w:eastAsia="黑体" w:hAnsi="宋体" w:hint="eastAsia"/>
          <w:sz w:val="32"/>
          <w:szCs w:val="32"/>
        </w:rPr>
      </w:pPr>
      <w:r>
        <w:rPr>
          <w:rFonts w:ascii="黑体" w:eastAsia="黑体" w:hAnsi="宋体" w:hint="eastAsia"/>
          <w:sz w:val="32"/>
          <w:szCs w:val="32"/>
          <w:lang w:val="en-US" w:eastAsia="zh-CN"/>
        </w:rPr>
        <w:t>四、项目绩效情况</w:t>
        <w:tab/>
      </w:r>
    </w:p>
    <w:p>
      <w:pPr>
        <w:adjustRightInd w:val="0"/>
        <w:snapToGrid w:val="0"/>
        <w:spacing w:line="578" w:lineRule="exact"/>
        <w:ind w:firstLine="720"/>
        <w:rPr>
          <w:rFonts w:ascii="楷体_GB2312" w:eastAsia="楷体_GB2312" w:hAnsi="宋体" w:hint="eastAsia"/>
          <w:b/>
          <w:sz w:val="32"/>
          <w:szCs w:val="32"/>
          <w:lang w:val="zh-CN"/>
        </w:rPr>
      </w:pPr>
      <w:r>
        <w:rPr>
          <w:rFonts w:ascii="楷体_GB2312" w:eastAsia="楷体_GB2312" w:hAnsi="宋体" w:hint="eastAsia"/>
          <w:b/>
          <w:sz w:val="32"/>
          <w:szCs w:val="32"/>
          <w:lang w:val="en-US" w:eastAsia="zh-CN"/>
        </w:rPr>
        <w:t>（一）项目完成情况。</w:t>
      </w:r>
    </w:p>
    <w:p>
      <w:pPr>
        <w:widowControl/>
        <w:adjustRightInd w:val="0"/>
        <w:snapToGrid w:val="0"/>
        <w:spacing w:line="578" w:lineRule="exact"/>
        <w:ind w:firstLineChars="200" w:firstLine="640"/>
        <w:contextualSpacing/>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该项目按照时间进度完成。</w:t>
      </w:r>
    </w:p>
    <w:p>
      <w:pPr>
        <w:widowControl/>
        <w:adjustRightInd w:val="0"/>
        <w:snapToGrid w:val="0"/>
        <w:spacing w:line="578" w:lineRule="exact"/>
        <w:ind w:firstLineChars="200" w:firstLine="640"/>
        <w:contextualSpacing/>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在成本控制方面，按照政府部门过紧日子要求，总成本10万元，主要用于支付获奖稿费、评审会议费、评审人员差旅费等。</w:t>
      </w:r>
    </w:p>
    <w:p>
      <w:pPr>
        <w:widowControl/>
        <w:adjustRightInd w:val="0"/>
        <w:snapToGrid w:val="0"/>
        <w:spacing w:line="578" w:lineRule="exact"/>
        <w:ind w:firstLineChars="200" w:firstLine="640"/>
        <w:contextualSpacing/>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在质量标准方面，新时代攀枝花精神表述语征集共收到表述语1797条。表述语通俗易懂、字数都控制在16字以内。对表述语精神内涵，都附有简明扼要的诠释和创意说明。此次活动组织高效，响应广泛，参与积极，质量较高，成效明显。</w:t>
      </w:r>
    </w:p>
    <w:p>
      <w:pPr>
        <w:widowControl/>
        <w:adjustRightInd w:val="0"/>
        <w:snapToGrid w:val="0"/>
        <w:spacing w:line="578" w:lineRule="exact"/>
        <w:ind w:firstLineChars="200" w:firstLine="640"/>
        <w:contextualSpacing/>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在数量指标方面，截止2022年5月31日，新时代攀枝花精神表述语征集共收到表述语1797条，网络投票环节参与投票的群众达到184941人（次）。主办方组织评委对所征集表述语进行初评和公开票选，评选出一等奖1名；二等奖2名；三等奖5名；优秀奖10名。</w:t>
      </w:r>
    </w:p>
    <w:p>
      <w:pPr>
        <w:adjustRightInd w:val="0"/>
        <w:snapToGrid w:val="0"/>
        <w:spacing w:line="578" w:lineRule="exact"/>
        <w:ind w:firstLine="720"/>
        <w:rPr>
          <w:rFonts w:ascii="楷体_GB2312" w:eastAsia="楷体_GB2312" w:hAnsi="宋体" w:hint="eastAsia"/>
          <w:b/>
          <w:sz w:val="32"/>
          <w:szCs w:val="32"/>
          <w:lang w:val="zh-CN"/>
        </w:rPr>
      </w:pPr>
      <w:r>
        <w:rPr>
          <w:rFonts w:ascii="楷体_GB2312" w:eastAsia="楷体_GB2312" w:hAnsi="宋体" w:hint="eastAsia"/>
          <w:b/>
          <w:sz w:val="32"/>
          <w:szCs w:val="32"/>
          <w:lang w:val="en-US" w:eastAsia="zh-CN"/>
        </w:rPr>
        <w:t>（二）项目效益情况。</w:t>
      </w:r>
    </w:p>
    <w:p>
      <w:pPr>
        <w:widowControl/>
        <w:adjustRightInd w:val="0"/>
        <w:snapToGrid w:val="0"/>
        <w:spacing w:line="578" w:lineRule="exact"/>
        <w:ind w:firstLineChars="200" w:firstLine="640"/>
        <w:contextualSpacing/>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从项目社会效益方面，通过专题研究、民意调查、有奖征集、论证提炼的过程，不但有效凝聚了攀枝花市民的意志，增强了市民的归属感和凝聚力，还通过各个环节活动扩大了攀枝花对外影响力，塑造了良好的攀枝花形象，把全市人民的思想和行动统一到市委提出的奋斗目标和决策部署上来。</w:t>
      </w:r>
    </w:p>
    <w:p>
      <w:pPr>
        <w:adjustRightInd w:val="0"/>
        <w:snapToGrid w:val="0"/>
        <w:spacing w:line="578" w:lineRule="exact"/>
        <w:ind w:firstLine="720"/>
        <w:rPr>
          <w:rFonts w:ascii="黑体" w:eastAsia="黑体" w:hAnsi="宋体" w:hint="eastAsia"/>
          <w:sz w:val="32"/>
          <w:szCs w:val="32"/>
        </w:rPr>
      </w:pPr>
      <w:r>
        <w:rPr>
          <w:rFonts w:ascii="黑体" w:eastAsia="黑体" w:hAnsi="宋体" w:hint="eastAsia"/>
          <w:sz w:val="32"/>
          <w:szCs w:val="32"/>
          <w:lang w:val="en-US" w:eastAsia="zh-CN"/>
        </w:rPr>
        <w:t>五、评价结论及建议</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方正公文楷体" w:eastAsia="方正公文楷体" w:cs="方正公文楷体" w:hAnsi="方正公文楷体" w:hint="eastAsia"/>
          <w:b/>
          <w:bCs/>
          <w:caps w:val="0"/>
          <w:smallCaps w:val="0"/>
          <w:color w:val="auto"/>
          <w:kern w:val="2"/>
          <w:sz w:val="33"/>
          <w:szCs w:val="33"/>
          <w:vertAlign w:val="baseline"/>
        </w:rPr>
      </w:pPr>
      <w:r>
        <w:rPr>
          <w:rFonts w:ascii="方正公文楷体" w:eastAsia="方正公文楷体" w:cs="方正公文楷体" w:hAnsi="方正公文楷体" w:hint="eastAsia"/>
          <w:b/>
          <w:bCs/>
          <w:caps w:val="0"/>
          <w:smallCaps w:val="0"/>
          <w:color w:val="auto"/>
          <w:kern w:val="2"/>
          <w:sz w:val="33"/>
          <w:szCs w:val="33"/>
          <w:vertAlign w:val="baseline"/>
          <w:lang w:val="en-US" w:eastAsia="zh-CN"/>
        </w:rPr>
        <w:t>（</w:t>
      </w:r>
      <w:r>
        <w:rPr>
          <w:rFonts w:ascii="楷体_GB2312" w:eastAsia="楷体_GB2312" w:hAnsi="宋体" w:hint="eastAsia"/>
          <w:b/>
          <w:sz w:val="32"/>
          <w:szCs w:val="32"/>
          <w:lang w:val="en-US" w:eastAsia="zh-CN"/>
        </w:rPr>
        <w:t>一）评价结论。</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详见《2023年市级专项预算项目支出绩效评价指标体系》，自评得分94.40分。</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市文联所属项目开展总体较好。项目工作推进有序，年底均能顺利完成；项目严格进行了成本控制，经费开支从严把关，依法公开；坚持重大事项集体研究，决策科学，符合文艺事业发展规律，又促进了文艺事业发展。取得了较好的社会效益，推出了一批优秀文艺作品和培养了优秀艺术人才；为文艺事业积存了成果，推动城市文化品牌建设，繁荣了攀枝花艺术创作，积极宣传了攀枝花城市新形象；开展了文艺扶贫促进了公益事业发展；文艺队伍壮大，文艺成果丰硕，文艺惠民工程取得实效。</w:t>
      </w:r>
    </w:p>
    <w:p>
      <w:pPr>
        <w:adjustRightInd w:val="0"/>
        <w:snapToGrid w:val="0"/>
        <w:spacing w:line="578" w:lineRule="exact"/>
        <w:ind w:firstLine="720"/>
        <w:rPr>
          <w:rFonts w:ascii="楷体_GB2312" w:eastAsia="楷体_GB2312" w:hAnsi="宋体" w:hint="eastAsia"/>
          <w:b/>
          <w:sz w:val="32"/>
          <w:szCs w:val="32"/>
          <w:lang w:val="zh-CN"/>
        </w:rPr>
      </w:pPr>
      <w:r>
        <w:rPr>
          <w:rFonts w:ascii="楷体_GB2312" w:eastAsia="楷体_GB2312" w:hAnsi="宋体" w:hint="eastAsia"/>
          <w:b/>
          <w:sz w:val="32"/>
          <w:szCs w:val="32"/>
          <w:lang w:val="en-US" w:eastAsia="zh-CN"/>
        </w:rPr>
        <w:t>（二）存在的问题。</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Chars="200" w:firstLine="660"/>
        <w:jc w:val="both"/>
        <w:outlineLvl w:val="9"/>
        <w:rPr>
          <w:rFonts w:ascii="方正仿宋_GBK" w:eastAsia="方正仿宋_GBK" w:cs="方正仿宋_GBK" w:hAnsi="方正仿宋_GBK" w:hint="eastAsia"/>
          <w:caps w:val="0"/>
          <w:smallCaps w:val="0"/>
          <w:color w:val="auto"/>
          <w:kern w:val="2"/>
          <w:sz w:val="33"/>
          <w:szCs w:val="33"/>
          <w:vertAlign w:val="baseline"/>
        </w:rPr>
      </w:pPr>
      <w:r>
        <w:rPr>
          <w:rFonts w:ascii="方正仿宋_GBK" w:eastAsia="方正仿宋_GBK" w:cs="方正仿宋_GBK" w:hAnsi="方正仿宋_GBK" w:hint="eastAsia"/>
          <w:b w:val="0"/>
          <w:bCs w:val="0"/>
          <w:caps w:val="0"/>
          <w:smallCaps w:val="0"/>
          <w:color w:val="auto"/>
          <w:kern w:val="2"/>
          <w:sz w:val="33"/>
          <w:szCs w:val="33"/>
          <w:vertAlign w:val="baseline"/>
          <w:lang w:val="en-US" w:eastAsia="zh-CN"/>
        </w:rPr>
        <w:t>无</w:t>
        <w:tab/>
      </w:r>
    </w:p>
    <w:p>
      <w:pPr>
        <w:adjustRightInd w:val="0"/>
        <w:snapToGrid w:val="0"/>
        <w:spacing w:line="578" w:lineRule="exact"/>
        <w:ind w:firstLine="720"/>
        <w:rPr>
          <w:rFonts w:ascii="楷体_GB2312" w:eastAsia="楷体_GB2312" w:hAnsi="宋体" w:hint="eastAsia"/>
          <w:b/>
          <w:sz w:val="32"/>
          <w:szCs w:val="32"/>
          <w:lang w:val="en-US" w:eastAsia="zh-CN"/>
        </w:rPr>
      </w:pPr>
      <w:r>
        <w:rPr>
          <w:rFonts w:ascii="楷体_GB2312" w:eastAsia="楷体_GB2312" w:hAnsi="宋体" w:hint="eastAsia"/>
          <w:b/>
          <w:sz w:val="32"/>
          <w:szCs w:val="32"/>
          <w:lang w:val="en-US" w:eastAsia="zh-CN"/>
        </w:rPr>
        <w:t>（三）相关建议。</w:t>
      </w:r>
    </w:p>
    <w:p>
      <w:pPr>
        <w:pStyle w:val="25"/>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Chars="200" w:firstLine="660"/>
        <w:jc w:val="left"/>
        <w:outlineLvl w:val="9"/>
        <w:rPr>
          <w:rFonts w:ascii="方正仿宋_GBK" w:eastAsia="方正仿宋_GBK" w:cs="方正仿宋_GBK" w:hAnsi="方正仿宋_GBK" w:hint="eastAsia"/>
          <w:caps w:val="0"/>
          <w:smallCaps w:val="0"/>
          <w:color w:val="auto"/>
          <w:kern w:val="2"/>
          <w:sz w:val="33"/>
          <w:szCs w:val="33"/>
          <w:vertAlign w:val="baseline"/>
        </w:rPr>
      </w:pPr>
      <w:r>
        <w:rPr>
          <w:rFonts w:ascii="方正仿宋_GBK" w:eastAsia="方正仿宋_GBK" w:cs="方正仿宋_GBK" w:hAnsi="方正仿宋_GBK" w:hint="eastAsia"/>
          <w:b w:val="0"/>
          <w:bCs w:val="0"/>
          <w:caps w:val="0"/>
          <w:smallCaps w:val="0"/>
          <w:color w:val="auto"/>
          <w:kern w:val="0"/>
          <w:sz w:val="33"/>
          <w:szCs w:val="33"/>
          <w:vertAlign w:val="baseline"/>
          <w:lang w:val="en-US" w:eastAsia="zh-CN"/>
        </w:rPr>
        <w:t>无</w:t>
      </w:r>
      <w:r>
        <w:rPr>
          <w:rFonts w:ascii="方正仿宋_GBK" w:eastAsia="方正仿宋_GBK" w:cs="方正仿宋_GBK" w:hAnsi="方正仿宋_GBK" w:hint="eastAsia"/>
          <w:b w:val="0"/>
          <w:bCs w:val="0"/>
          <w:caps w:val="0"/>
          <w:smallCaps w:val="0"/>
          <w:color w:val="auto"/>
          <w:kern w:val="2"/>
          <w:sz w:val="33"/>
          <w:szCs w:val="33"/>
          <w:vertAlign w:val="baseline"/>
          <w:lang w:val="en-US" w:eastAsia="zh-CN"/>
        </w:rPr>
        <w:t>。</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60"/>
        <w:jc w:val="both"/>
        <w:outlineLvl w:val="9"/>
        <w:rPr>
          <w:rFonts w:ascii="方正仿宋_GBK" w:eastAsia="方正仿宋_GBK" w:cs="方正仿宋_GBK" w:hAnsi="方正仿宋_GBK" w:hint="eastAsia"/>
          <w:caps w:val="0"/>
          <w:smallCaps w:val="0"/>
          <w:color w:val="auto"/>
          <w:kern w:val="2"/>
          <w:sz w:val="33"/>
          <w:szCs w:val="33"/>
          <w:vertAlign w:val="baseline"/>
        </w:rPr>
      </w:pPr>
      <w:r>
        <w:rPr>
          <w:rFonts w:ascii="方正仿宋_GBK" w:eastAsia="方正仿宋_GBK" w:cs="方正仿宋_GBK" w:hAnsi="方正仿宋_GBK" w:hint="eastAsia"/>
          <w:b w:val="0"/>
          <w:bCs w:val="0"/>
          <w:caps w:val="0"/>
          <w:smallCaps w:val="0"/>
          <w:color w:val="auto"/>
          <w:kern w:val="2"/>
          <w:sz w:val="33"/>
          <w:szCs w:val="33"/>
          <w:vertAlign w:val="baseline"/>
          <w:lang w:val="en-US" w:eastAsia="zh-CN"/>
        </w:rPr>
        <w:t xml:space="preserve">                    </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60"/>
        <w:jc w:val="right"/>
        <w:outlineLvl w:val="9"/>
        <w:rPr>
          <w:rFonts w:ascii="Times New Roman" w:eastAsia="方正仿宋_GBK" w:cs="Times New Roman" w:hAnsi="Times New Roman"/>
          <w:b w:val="0"/>
          <w:bCs w:val="0"/>
          <w:caps w:val="0"/>
          <w:smallCaps w:val="0"/>
          <w:color w:val="auto"/>
          <w:kern w:val="0"/>
          <w:sz w:val="33"/>
          <w:szCs w:val="33"/>
          <w:shd w:val="clear" w:color="auto" w:fill="FFFFFF"/>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60"/>
        <w:jc w:val="right"/>
        <w:outlineLvl w:val="9"/>
        <w:rPr>
          <w:rFonts w:ascii="Times New Roman" w:eastAsia="方正仿宋_GBK" w:cs="Times New Roman" w:hAnsi="Times New Roman"/>
          <w:b w:val="0"/>
          <w:bCs w:val="0"/>
          <w:caps w:val="0"/>
          <w:smallCaps w:val="0"/>
          <w:color w:val="auto"/>
          <w:kern w:val="0"/>
          <w:sz w:val="33"/>
          <w:szCs w:val="33"/>
          <w:shd w:val="clear" w:color="auto" w:fill="FFFFFF"/>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60"/>
        <w:jc w:val="right"/>
        <w:outlineLvl w:val="9"/>
        <w:rPr>
          <w:rFonts w:ascii="Times New Roman" w:eastAsia="方正仿宋_GBK" w:cs="Times New Roman" w:hAnsi="Times New Roman"/>
          <w:b w:val="0"/>
          <w:bCs w:val="0"/>
          <w:caps w:val="0"/>
          <w:smallCaps w:val="0"/>
          <w:color w:val="auto"/>
          <w:kern w:val="0"/>
          <w:sz w:val="33"/>
          <w:szCs w:val="33"/>
          <w:shd w:val="clear" w:color="auto" w:fill="FFFFFF"/>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60"/>
        <w:jc w:val="right"/>
        <w:outlineLvl w:val="9"/>
        <w:rPr>
          <w:rFonts w:ascii="Times New Roman" w:eastAsia="方正仿宋_GBK" w:cs="Times New Roman" w:hAnsi="Times New Roman"/>
          <w:b w:val="0"/>
          <w:bCs w:val="0"/>
          <w:caps w:val="0"/>
          <w:smallCaps w:val="0"/>
          <w:color w:val="auto"/>
          <w:kern w:val="0"/>
          <w:sz w:val="33"/>
          <w:szCs w:val="33"/>
          <w:shd w:val="clear" w:color="auto" w:fill="FFFFFF"/>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60"/>
        <w:jc w:val="right"/>
        <w:outlineLvl w:val="9"/>
        <w:rPr>
          <w:rFonts w:ascii="Times New Roman" w:eastAsia="方正仿宋_GBK" w:cs="Times New Roman" w:hAnsi="Times New Roman"/>
          <w:b w:val="0"/>
          <w:bCs w:val="0"/>
          <w:caps w:val="0"/>
          <w:smallCaps w:val="0"/>
          <w:color w:val="auto"/>
          <w:kern w:val="0"/>
          <w:sz w:val="33"/>
          <w:szCs w:val="33"/>
          <w:shd w:val="clear" w:color="auto" w:fill="FFFFFF"/>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60"/>
        <w:jc w:val="right"/>
        <w:outlineLvl w:val="9"/>
        <w:rPr>
          <w:rFonts w:ascii="Times New Roman" w:eastAsia="方正仿宋_GBK" w:cs="Times New Roman" w:hAnsi="Times New Roman"/>
          <w:b w:val="0"/>
          <w:bCs w:val="0"/>
          <w:caps w:val="0"/>
          <w:smallCaps w:val="0"/>
          <w:color w:val="auto"/>
          <w:kern w:val="0"/>
          <w:sz w:val="33"/>
          <w:szCs w:val="33"/>
          <w:shd w:val="clear" w:color="auto" w:fill="FFFFFF"/>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60"/>
        <w:jc w:val="right"/>
        <w:outlineLvl w:val="9"/>
        <w:rPr>
          <w:rFonts w:ascii="Times New Roman" w:eastAsia="方正仿宋_GBK" w:cs="Times New Roman" w:hAnsi="Times New Roman"/>
          <w:caps w:val="0"/>
          <w:smallCaps w:val="0"/>
          <w:color w:val="auto"/>
          <w:kern w:val="0"/>
          <w:sz w:val="33"/>
          <w:szCs w:val="33"/>
          <w:shd w:val="clear" w:color="auto" w:fill="FFFFFF"/>
          <w:vertAlign w:val="baseline"/>
        </w:rPr>
      </w:pPr>
      <w:r>
        <w:rPr>
          <w:rFonts w:ascii="Times New Roman" w:eastAsia="方正仿宋_GBK" w:cs="Times New Roman" w:hAnsi="Times New Roman"/>
          <w:b w:val="0"/>
          <w:bCs w:val="0"/>
          <w:caps w:val="0"/>
          <w:smallCaps w:val="0"/>
          <w:color w:val="auto"/>
          <w:kern w:val="0"/>
          <w:sz w:val="33"/>
          <w:szCs w:val="33"/>
          <w:shd w:val="clear" w:color="auto" w:fill="FFFFFF"/>
          <w:vertAlign w:val="baseline"/>
          <w:lang w:val="en-US" w:eastAsia="zh-CN"/>
        </w:rPr>
        <w:t xml:space="preserve">   </w:t>
      </w:r>
    </w:p>
    <w:p>
      <w:pPr>
        <w:pStyle w:val="25"/>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ascii="Times New Roman" w:eastAsia="方正小标宋简体" w:cs="Times New Roman" w:hAnsi="Times New Roman"/>
          <w:caps w:val="0"/>
          <w:smallCaps w:val="0"/>
          <w:color w:val="auto"/>
          <w:kern w:val="2"/>
          <w:sz w:val="40"/>
          <w:szCs w:val="40"/>
          <w:vertAlign w:val="baseline"/>
        </w:rPr>
      </w:pPr>
      <w:r>
        <w:rPr>
          <w:rFonts w:ascii="Times New Roman" w:eastAsia="方正小标宋简体" w:cs="Times New Roman" w:hAnsi="方正小标宋简体" w:hint="eastAsia"/>
          <w:b w:val="0"/>
          <w:bCs w:val="0"/>
          <w:caps w:val="0"/>
          <w:smallCaps w:val="0"/>
          <w:color w:val="auto"/>
          <w:kern w:val="2"/>
          <w:sz w:val="33"/>
          <w:szCs w:val="33"/>
          <w:vertAlign w:val="baseline"/>
          <w:lang w:val="en-US" w:eastAsia="zh-CN"/>
        </w:rPr>
        <w:t>附件</w:t>
      </w:r>
      <w:r>
        <w:rPr>
          <w:rFonts w:ascii="Times New Roman" w:eastAsia="方正小标宋简体" w:cs="Times New Roman" w:hAnsi="Times New Roman"/>
          <w:b w:val="0"/>
          <w:bCs w:val="0"/>
          <w:caps w:val="0"/>
          <w:smallCaps w:val="0"/>
          <w:color w:val="auto"/>
          <w:kern w:val="2"/>
          <w:sz w:val="33"/>
          <w:szCs w:val="33"/>
          <w:vertAlign w:val="baseline"/>
          <w:lang w:val="en-US" w:eastAsia="zh-CN"/>
        </w:rPr>
        <w:t>3</w:t>
      </w:r>
    </w:p>
    <w:p>
      <w:pPr>
        <w:pStyle w:val="38"/>
        <w:spacing w:line="578" w:lineRule="exact"/>
        <w:jc w:val="center"/>
        <w:rPr>
          <w:rFonts w:ascii="方正小标宋简体" w:eastAsia="方正小标宋简体" w:cs="方正小标宋简体" w:hAnsi="方正小标宋简体" w:hint="eastAsia"/>
          <w:color w:val="auto"/>
          <w:kern w:val="2"/>
          <w:sz w:val="32"/>
          <w:szCs w:val="32"/>
          <w:lang w:val="en-US" w:eastAsia="zh-CN"/>
        </w:rPr>
      </w:pPr>
      <w:r>
        <w:rPr>
          <w:rFonts w:ascii="方正小标宋简体" w:eastAsia="方正小标宋简体" w:cs="方正小标宋简体" w:hAnsi="方正小标宋简体" w:hint="eastAsia"/>
          <w:color w:val="auto"/>
          <w:kern w:val="2"/>
          <w:sz w:val="32"/>
          <w:szCs w:val="32"/>
          <w:lang w:val="en-US"/>
        </w:rPr>
        <w:t>202</w:t>
      </w:r>
      <w:r>
        <w:rPr>
          <w:rFonts w:ascii="方正小标宋简体" w:eastAsia="方正小标宋简体" w:cs="方正小标宋简体" w:hAnsi="方正小标宋简体" w:hint="eastAsia"/>
          <w:color w:val="auto"/>
          <w:kern w:val="2"/>
          <w:sz w:val="32"/>
          <w:szCs w:val="32"/>
          <w:lang w:val="en-US" w:eastAsia="zh-CN"/>
        </w:rPr>
        <w:t>3</w:t>
      </w:r>
      <w:r>
        <w:rPr>
          <w:rFonts w:ascii="方正小标宋简体" w:eastAsia="方正小标宋简体" w:cs="方正小标宋简体" w:hAnsi="方正小标宋简体" w:hint="eastAsia"/>
          <w:color w:val="auto"/>
          <w:kern w:val="2"/>
          <w:sz w:val="32"/>
          <w:szCs w:val="32"/>
          <w:lang w:val="en-US"/>
        </w:rPr>
        <w:t>年</w:t>
      </w:r>
      <w:r>
        <w:rPr>
          <w:rFonts w:ascii="方正小标宋简体" w:eastAsia="方正小标宋简体" w:cs="方正小标宋简体" w:hAnsi="方正小标宋简体" w:hint="eastAsia"/>
          <w:color w:val="auto"/>
          <w:kern w:val="2"/>
          <w:sz w:val="32"/>
          <w:szCs w:val="32"/>
          <w:lang w:val="en-US" w:eastAsia="zh-CN"/>
        </w:rPr>
        <w:t>攀枝花市文学艺术界联合会</w:t>
      </w:r>
    </w:p>
    <w:p>
      <w:pPr>
        <w:pStyle w:val="38"/>
        <w:spacing w:line="578" w:lineRule="exact"/>
        <w:jc w:val="center"/>
        <w:rPr>
          <w:rFonts w:ascii="方正小标宋简体" w:eastAsia="方正小标宋简体" w:cs="方正小标宋简体" w:hAnsi="方正小标宋简体"/>
          <w:color w:val="auto"/>
          <w:kern w:val="2"/>
          <w:sz w:val="32"/>
          <w:szCs w:val="32"/>
          <w:lang w:val="en-US"/>
        </w:rPr>
      </w:pPr>
      <w:r>
        <w:rPr>
          <w:rFonts w:ascii="方正小标宋简体" w:eastAsia="方正小标宋简体" w:cs="方正小标宋简体" w:hAnsi="方正小标宋简体" w:hint="eastAsia"/>
          <w:color w:val="auto"/>
          <w:kern w:val="2"/>
          <w:sz w:val="32"/>
          <w:szCs w:val="32"/>
          <w:lang w:val="en-US"/>
        </w:rPr>
        <w:t>市级专项资金预算项目绩效自评报告</w:t>
      </w:r>
    </w:p>
    <w:p>
      <w:pPr>
        <w:pStyle w:val="38"/>
        <w:spacing w:line="578" w:lineRule="exact"/>
        <w:jc w:val="center"/>
        <w:rPr>
          <w:rFonts w:ascii="方正小标宋简体" w:eastAsia="方正小标宋简体" w:cs="方正小标宋简体" w:hAnsi="方正小标宋简体" w:hint="eastAsia"/>
          <w:color w:val="auto"/>
          <w:kern w:val="2"/>
          <w:sz w:val="32"/>
          <w:szCs w:val="32"/>
          <w:lang w:val="en-US"/>
        </w:rPr>
      </w:pPr>
      <w:r>
        <w:rPr>
          <w:rFonts w:ascii="方正小标宋简体" w:eastAsia="方正小标宋简体" w:cs="方正小标宋简体" w:hAnsi="方正小标宋简体" w:hint="eastAsia"/>
          <w:color w:val="auto"/>
          <w:kern w:val="2"/>
          <w:sz w:val="32"/>
          <w:szCs w:val="32"/>
          <w:lang w:val="en-US" w:eastAsia="zh-CN"/>
        </w:rPr>
        <w:t>（庆祝中国共产党成立</w:t>
      </w:r>
      <w:r>
        <w:rPr>
          <w:rFonts w:ascii="方正小标宋简体" w:eastAsia="方正小标宋简体" w:cs="方正小标宋简体" w:hAnsi="方正小标宋简体"/>
          <w:color w:val="auto"/>
          <w:kern w:val="2"/>
          <w:sz w:val="32"/>
          <w:szCs w:val="32"/>
          <w:lang w:val="en-US" w:eastAsia="zh-CN"/>
        </w:rPr>
        <w:t>100</w:t>
      </w:r>
      <w:r>
        <w:rPr>
          <w:rFonts w:ascii="方正小标宋简体" w:eastAsia="方正小标宋简体" w:cs="方正小标宋简体" w:hAnsi="方正小标宋简体" w:hint="eastAsia"/>
          <w:color w:val="auto"/>
          <w:kern w:val="2"/>
          <w:sz w:val="32"/>
          <w:szCs w:val="32"/>
          <w:lang w:val="en-US" w:eastAsia="zh-CN"/>
        </w:rPr>
        <w:t>周年系列文艺活动）</w:t>
      </w:r>
    </w:p>
    <w:p>
      <w:pPr>
        <w:pStyle w:val="25"/>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jc w:val="center"/>
        <w:outlineLvl w:val="9"/>
        <w:rPr>
          <w:rFonts w:ascii="Times New Roman" w:eastAsia="宋体" w:cs="Times New Roman" w:hAnsi="Times New Roman"/>
          <w:caps w:val="0"/>
          <w:smallCaps w:val="0"/>
          <w:color w:val="auto"/>
          <w:kern w:val="2"/>
          <w:sz w:val="32"/>
          <w:szCs w:val="32"/>
          <w:vertAlign w:val="baseline"/>
        </w:rPr>
      </w:pPr>
    </w:p>
    <w:p>
      <w:pPr>
        <w:adjustRightInd w:val="0"/>
        <w:snapToGrid w:val="0"/>
        <w:spacing w:line="578" w:lineRule="exact"/>
        <w:ind w:firstLine="720"/>
        <w:rPr>
          <w:rFonts w:ascii="黑体" w:eastAsia="黑体" w:hAnsi="宋体" w:hint="eastAsia"/>
          <w:sz w:val="32"/>
          <w:szCs w:val="32"/>
        </w:rPr>
      </w:pPr>
      <w:r>
        <w:rPr>
          <w:rFonts w:ascii="黑体" w:eastAsia="黑体" w:hAnsi="宋体" w:hint="eastAsia"/>
          <w:sz w:val="32"/>
          <w:szCs w:val="32"/>
          <w:lang w:val="en-US" w:eastAsia="zh-CN"/>
        </w:rPr>
        <w:t>一、项目概况</w:t>
      </w:r>
    </w:p>
    <w:p>
      <w:pPr>
        <w:adjustRightInd w:val="0"/>
        <w:snapToGrid w:val="0"/>
        <w:spacing w:line="578" w:lineRule="exact"/>
        <w:ind w:firstLine="720"/>
        <w:rPr>
          <w:rFonts w:ascii="楷体_GB2312" w:eastAsia="楷体_GB2312" w:hAnsi="宋体" w:hint="eastAsia"/>
          <w:b/>
          <w:sz w:val="32"/>
          <w:szCs w:val="32"/>
          <w:lang w:val="zh-CN"/>
        </w:rPr>
      </w:pPr>
      <w:r>
        <w:rPr>
          <w:rFonts w:ascii="楷体_GB2312" w:eastAsia="楷体_GB2312" w:hAnsi="宋体" w:hint="eastAsia"/>
          <w:b/>
          <w:sz w:val="32"/>
          <w:szCs w:val="32"/>
          <w:lang w:val="en-US" w:eastAsia="zh-CN"/>
        </w:rPr>
        <w:t>（一）项目基本情况。</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1．项目主管部门（单位）在该项目管理中的职能。</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 xml:space="preserve"> 2021年7月28日，攀枝花市文联向各部、室、院印发了《关于印发庆祝中国共产党成立100周年系列文艺活动方案的通知》。根据2021年7月16日中共攀枝花市文联党组2021年第10次会议纪要精神，会议根据实际下达的财政资金额度，审定了庆祝中国共产党成立 100 周年系列文艺活动专项经费使用方案。项目延续至2022年，财政拨款预算经费10万元。</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2.项目立项、资金申报的依据。</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按照《攀枝花市财政局关于下达庆祝中国共产党成立100周年系列文艺活动经费的通知（第一次预审会）》（攀财资教〔2022〕4号），下达资金额度10万元。</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3．资金管理办法制定情况，资金支持具体项目的条件、范围与支持方式概况。</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本项目执行方案报经党组会审议通过，适用于开展庆祝中国共产党成立100周年系列文艺活动，包括举办摄影作品展、美术作品展、 “百年红心—讴歌英雄攀枝花·献礼中国共产党百年华诞”主题征文，开支范围为装裱费，入展作品稿费，专家评审费，广告制作费、证书费等费用，画册编辑印刷费，优秀作品收藏费用，图书编辑出版费，工作经费等费用。</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攀枝花市文联向各部、室、院印发了《关于印发庆祝中国共产党成立100周年系列文艺活动方案的通知》，将审核后的主题活动方案予以印发，要求各部、室、院切实加强系列文艺活动资金绩效管理，加强项目绩效评估，强化纪律制度约束。项目实施、经费开支要严格执行财经纪律、内控制度、廉政规定，违反有关规定的依纪依规依法追究责任。</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4.资金分配的原则及考虑因素。</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遵循财经纪律的前提下，落实政府部门过紧日子要求，最大限度压缩经费，注重投入产出比；参考同行业同类文艺活动经费标准和预算总额下达情况，在预算范围内进行资金分配。</w:t>
      </w:r>
    </w:p>
    <w:p>
      <w:pPr>
        <w:adjustRightInd w:val="0"/>
        <w:snapToGrid w:val="0"/>
        <w:spacing w:line="578" w:lineRule="exact"/>
        <w:ind w:firstLine="720"/>
        <w:rPr>
          <w:rFonts w:ascii="楷体_GB2312" w:eastAsia="楷体_GB2312" w:hAnsi="宋体" w:hint="eastAsia"/>
          <w:b/>
          <w:sz w:val="32"/>
          <w:szCs w:val="32"/>
          <w:lang w:val="zh-CN"/>
        </w:rPr>
      </w:pPr>
      <w:r>
        <w:rPr>
          <w:rFonts w:ascii="楷体_GB2312" w:eastAsia="楷体_GB2312" w:hAnsi="宋体" w:hint="eastAsia"/>
          <w:b/>
          <w:sz w:val="32"/>
          <w:szCs w:val="32"/>
          <w:lang w:val="en-US" w:eastAsia="zh-CN"/>
        </w:rPr>
        <w:t>（二）项目绩效目标。</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1. 项目主要内容。</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0"/>
        <w:jc w:val="both"/>
        <w:outlineLvl w:val="9"/>
        <w:rPr>
          <w:rFonts w:ascii="仿宋_GB2312" w:eastAsia="仿宋_GB2312" w:cs="仿宋_GB2312" w:hAnsi="仿宋_GB2312" w:hint="eastAsia"/>
          <w:kern w:val="0"/>
          <w:sz w:val="32"/>
          <w:szCs w:val="32"/>
          <w:shd w:val="clear" w:color="auto" w:fill="FFFFFF"/>
          <w:lang w:val="zh-CN"/>
        </w:rPr>
      </w:pPr>
      <w:r>
        <w:rPr>
          <w:rFonts w:ascii="方正仿宋_GBK" w:eastAsia="方正仿宋_GBK" w:cs="方正仿宋_GBK" w:hAnsi="方正仿宋_GBK" w:hint="eastAsia"/>
          <w:b w:val="0"/>
          <w:bCs w:val="0"/>
          <w:caps w:val="0"/>
          <w:smallCaps w:val="0"/>
          <w:color w:val="auto"/>
          <w:kern w:val="2"/>
          <w:sz w:val="33"/>
          <w:szCs w:val="33"/>
          <w:vertAlign w:val="baseline"/>
          <w:lang w:val="en-US" w:eastAsia="zh-CN"/>
        </w:rPr>
        <w:t xml:space="preserve">    </w:t>
      </w:r>
      <w:r>
        <w:rPr>
          <w:rFonts w:ascii="仿宋_GB2312" w:eastAsia="仿宋_GB2312" w:cs="仿宋_GB2312" w:hAnsi="仿宋_GB2312" w:hint="eastAsia"/>
          <w:kern w:val="0"/>
          <w:sz w:val="32"/>
          <w:szCs w:val="32"/>
          <w:shd w:val="clear" w:color="auto" w:fill="FFFFFF"/>
          <w:lang w:val="en-US" w:eastAsia="zh-CN"/>
        </w:rPr>
        <w:t>2021年7月28日，攀枝花市文联向各部、室、院印发了《关于印发庆祝中国共产党成立100周年系列文艺活动方案的通知》。项目主要有庆祝中国共产党成立100周年美术作品（精选）展、摄影作品展、“百年红心——讴歌英雄攀枝花·献礼中国共产党百年华诞”主题征文。</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en-US" w:eastAsia="zh-CN"/>
        </w:rPr>
      </w:pPr>
      <w:r>
        <w:rPr>
          <w:rFonts w:ascii="仿宋_GB2312" w:eastAsia="仿宋_GB2312" w:cs="仿宋_GB2312" w:hAnsi="仿宋_GB2312" w:hint="eastAsia"/>
          <w:kern w:val="0"/>
          <w:sz w:val="32"/>
          <w:szCs w:val="32"/>
          <w:shd w:val="clear" w:color="auto" w:fill="FFFFFF"/>
          <w:lang w:val="en-US" w:eastAsia="zh-CN"/>
        </w:rPr>
        <w:t>2. 项目应实现的具体绩效目标。</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Chars="200" w:firstLine="660"/>
        <w:jc w:val="left"/>
        <w:outlineLvl w:val="9"/>
        <w:rPr>
          <w:rFonts w:ascii="方正仿宋_GBK" w:eastAsia="方正仿宋_GBK" w:cs="方正仿宋_GBK" w:hAnsi="方正仿宋_GBK" w:hint="eastAsia"/>
          <w:caps w:val="0"/>
          <w:smallCaps w:val="0"/>
          <w:color w:val="auto"/>
          <w:kern w:val="0"/>
          <w:sz w:val="33"/>
          <w:szCs w:val="33"/>
          <w:vertAlign w:val="baseline"/>
        </w:rPr>
      </w:pPr>
      <w:r>
        <w:rPr>
          <w:rFonts w:ascii="方正仿宋_GBK" w:eastAsia="方正仿宋_GBK" w:cs="方正仿宋_GBK" w:hAnsi="方正仿宋_GBK" w:hint="eastAsia"/>
          <w:b w:val="0"/>
          <w:bCs w:val="0"/>
          <w:caps w:val="0"/>
          <w:smallCaps w:val="0"/>
          <w:color w:val="auto"/>
          <w:kern w:val="0"/>
          <w:sz w:val="33"/>
          <w:szCs w:val="33"/>
          <w:vertAlign w:val="baseline"/>
          <w:lang w:val="en-US" w:eastAsia="zh-CN"/>
        </w:rPr>
        <w:t>精选推出一批反映攀枝花开发建设历史、展现改革风貌、讴歌时代发展的优秀题材作品，反映攀枝花开发建设历史、展现改革风貌、讴歌时代发展。市文联设定了具体绩效目标，年底项目执行率100%。</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en-US" w:eastAsia="zh-CN"/>
        </w:rPr>
      </w:pPr>
      <w:r>
        <w:rPr>
          <w:rFonts w:ascii="仿宋_GB2312" w:eastAsia="仿宋_GB2312" w:cs="仿宋_GB2312" w:hAnsi="仿宋_GB2312" w:hint="eastAsia"/>
          <w:kern w:val="0"/>
          <w:sz w:val="32"/>
          <w:szCs w:val="32"/>
          <w:shd w:val="clear" w:color="auto" w:fill="FFFFFF"/>
          <w:lang w:val="en-US" w:eastAsia="zh-CN"/>
        </w:rPr>
        <w:t>3.分析评价申报内容是否与实际相符，申报目标是否合理可行。</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评价申报内容与实际相符，申报目标合理可行。</w:t>
      </w:r>
    </w:p>
    <w:p>
      <w:pPr>
        <w:adjustRightInd w:val="0"/>
        <w:snapToGrid w:val="0"/>
        <w:spacing w:line="578" w:lineRule="exact"/>
        <w:ind w:firstLine="720"/>
        <w:rPr>
          <w:rFonts w:ascii="楷体_GB2312" w:eastAsia="楷体_GB2312" w:hAnsi="宋体" w:hint="eastAsia"/>
          <w:b/>
          <w:sz w:val="32"/>
          <w:szCs w:val="32"/>
          <w:lang w:val="zh-CN"/>
        </w:rPr>
      </w:pPr>
      <w:r>
        <w:rPr>
          <w:rFonts w:ascii="楷体_GB2312" w:eastAsia="楷体_GB2312" w:hAnsi="宋体" w:hint="eastAsia"/>
          <w:b/>
          <w:sz w:val="32"/>
          <w:szCs w:val="32"/>
          <w:lang w:val="en-US" w:eastAsia="zh-CN"/>
        </w:rPr>
        <w:t>（三）项目自评步骤及方法。</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按照财政部门下发的《2023年市级专项预算项目支出绩效评价指标体系》，指标等做出自我评价、自评打分，撰写自评报告。</w:t>
      </w:r>
    </w:p>
    <w:p>
      <w:pPr>
        <w:adjustRightInd w:val="0"/>
        <w:snapToGrid w:val="0"/>
        <w:spacing w:line="578" w:lineRule="exact"/>
        <w:ind w:firstLine="720"/>
        <w:rPr>
          <w:rFonts w:ascii="黑体" w:eastAsia="黑体" w:hAnsi="宋体" w:hint="eastAsia"/>
          <w:sz w:val="32"/>
          <w:szCs w:val="32"/>
        </w:rPr>
      </w:pPr>
      <w:r>
        <w:rPr>
          <w:rFonts w:ascii="黑体" w:eastAsia="黑体" w:hAnsi="宋体" w:hint="eastAsia"/>
          <w:sz w:val="32"/>
          <w:szCs w:val="32"/>
          <w:lang w:val="en-US" w:eastAsia="zh-CN"/>
        </w:rPr>
        <w:t>二、项目资金申报及使用情况</w:t>
      </w:r>
    </w:p>
    <w:p>
      <w:pPr>
        <w:adjustRightInd w:val="0"/>
        <w:snapToGrid w:val="0"/>
        <w:spacing w:line="578" w:lineRule="exact"/>
        <w:ind w:firstLine="720"/>
        <w:rPr>
          <w:rFonts w:ascii="楷体_GB2312" w:eastAsia="楷体_GB2312" w:hAnsi="宋体" w:hint="eastAsia"/>
          <w:b/>
          <w:sz w:val="32"/>
          <w:szCs w:val="32"/>
          <w:lang w:val="zh-CN"/>
        </w:rPr>
      </w:pPr>
      <w:r>
        <w:rPr>
          <w:rFonts w:ascii="楷体_GB2312" w:eastAsia="楷体_GB2312" w:hAnsi="宋体" w:hint="eastAsia"/>
          <w:b/>
          <w:sz w:val="32"/>
          <w:szCs w:val="32"/>
          <w:lang w:val="en-US" w:eastAsia="zh-CN"/>
        </w:rPr>
        <w:t>（一）项目资金申报及批复情况。</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市文联组织联络部向2021年第10次党组会提交了《关于庆祝中国共产党成立100周年系列文艺活动方案的报告》，审议批复同意。</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根据攀财资教（2022）4号文追加功能科目2012999-其他群众团体事务支出“庆祝中国共产党成立100周年系列文艺活动”10万元。</w:t>
      </w:r>
    </w:p>
    <w:p>
      <w:pPr>
        <w:adjustRightInd w:val="0"/>
        <w:snapToGrid w:val="0"/>
        <w:spacing w:line="578" w:lineRule="exact"/>
        <w:ind w:firstLine="720"/>
        <w:rPr>
          <w:rFonts w:ascii="楷体_GB2312" w:eastAsia="楷体_GB2312" w:hAnsi="宋体" w:hint="eastAsia"/>
          <w:b/>
          <w:sz w:val="32"/>
          <w:szCs w:val="32"/>
          <w:lang w:val="zh-CN"/>
        </w:rPr>
      </w:pPr>
      <w:r>
        <w:rPr>
          <w:rFonts w:ascii="楷体_GB2312" w:eastAsia="楷体_GB2312" w:hAnsi="宋体" w:hint="eastAsia"/>
          <w:b/>
          <w:sz w:val="32"/>
          <w:szCs w:val="32"/>
          <w:lang w:val="en-US" w:eastAsia="zh-CN"/>
        </w:rPr>
        <w:t>（二）资金计划、到位及使用情况。</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1．资金计划。该预算下达金额为10.00万元，资金来源为市级财政资金，在2022年下达市文联的其他群众团体事务支出中予以列支。项目完成后，市文联支付了相关稿费、评审费、展览费、评审费等。</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2．资金到位。市级财政资金下达及时。</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3.资金使用。</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2022年度项目资金支付率为100%，在资金支付使用上，按照项目开展进度进行支付。依照我市财经纪律规定和市文联财务要求、内控管理规定，从严审核经费支出；坚持“三重一大”事项由党组会集体研究决定；项目经费预决算在公共平台依法公开，经费使用情况接受监督，确保经费支出合规合法，与预算相符。</w:t>
      </w:r>
    </w:p>
    <w:p>
      <w:pPr>
        <w:adjustRightInd w:val="0"/>
        <w:snapToGrid w:val="0"/>
        <w:spacing w:line="578" w:lineRule="exact"/>
        <w:ind w:firstLine="720"/>
        <w:rPr>
          <w:rFonts w:ascii="楷体_GB2312" w:eastAsia="楷体_GB2312" w:hAnsi="宋体" w:hint="eastAsia"/>
          <w:b/>
          <w:sz w:val="32"/>
          <w:szCs w:val="32"/>
          <w:lang w:val="zh-CN"/>
        </w:rPr>
      </w:pPr>
      <w:r>
        <w:rPr>
          <w:rFonts w:ascii="楷体_GB2312" w:eastAsia="楷体_GB2312" w:hAnsi="宋体" w:hint="eastAsia"/>
          <w:b/>
          <w:sz w:val="32"/>
          <w:szCs w:val="32"/>
          <w:lang w:val="en-US" w:eastAsia="zh-CN"/>
        </w:rPr>
        <w:t>（三）项目财务管理情况。</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市文联务管理制度健全且严格执行财务管理制度，账务处理及时，会计核算规范。</w:t>
      </w:r>
    </w:p>
    <w:p>
      <w:pPr>
        <w:adjustRightInd w:val="0"/>
        <w:snapToGrid w:val="0"/>
        <w:spacing w:line="578" w:lineRule="exact"/>
        <w:ind w:firstLine="720"/>
        <w:rPr>
          <w:rFonts w:ascii="黑体" w:eastAsia="黑体" w:hAnsi="宋体" w:hint="eastAsia"/>
          <w:sz w:val="32"/>
          <w:szCs w:val="32"/>
        </w:rPr>
      </w:pPr>
      <w:r>
        <w:rPr>
          <w:rFonts w:ascii="黑体" w:eastAsia="黑体" w:hAnsi="宋体" w:hint="eastAsia"/>
          <w:sz w:val="32"/>
          <w:szCs w:val="32"/>
          <w:lang w:val="en-US" w:eastAsia="zh-CN"/>
        </w:rPr>
        <w:t>三、项目实施及管理情况</w:t>
      </w:r>
    </w:p>
    <w:p>
      <w:pPr>
        <w:adjustRightInd w:val="0"/>
        <w:snapToGrid w:val="0"/>
        <w:spacing w:line="578" w:lineRule="exact"/>
        <w:ind w:firstLine="720"/>
        <w:rPr>
          <w:rFonts w:ascii="楷体_GB2312" w:eastAsia="楷体_GB2312" w:hAnsi="宋体" w:hint="eastAsia"/>
          <w:b/>
          <w:sz w:val="32"/>
          <w:szCs w:val="32"/>
          <w:lang w:val="zh-CN"/>
        </w:rPr>
      </w:pPr>
      <w:r>
        <w:rPr>
          <w:rFonts w:ascii="楷体_GB2312" w:eastAsia="楷体_GB2312" w:hAnsi="宋体" w:hint="eastAsia"/>
          <w:b/>
          <w:sz w:val="32"/>
          <w:szCs w:val="32"/>
          <w:lang w:val="en-US" w:eastAsia="zh-CN"/>
        </w:rPr>
        <w:t>（一）项目组织架构及实施流程。</w:t>
      </w:r>
    </w:p>
    <w:p>
      <w:pPr>
        <w:adjustRightInd w:val="0"/>
        <w:snapToGrid w:val="0"/>
        <w:spacing w:line="578" w:lineRule="exact"/>
        <w:ind w:firstLine="720"/>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由财务室协同组织联络科，根据项目绩效评价体系，结合项目取得的实际效益进行自评打分，撰写自评报告。</w:t>
      </w:r>
    </w:p>
    <w:p>
      <w:pPr>
        <w:adjustRightInd w:val="0"/>
        <w:snapToGrid w:val="0"/>
        <w:spacing w:line="578" w:lineRule="exact"/>
        <w:ind w:firstLine="720"/>
        <w:rPr>
          <w:rFonts w:ascii="楷体_GB2312" w:eastAsia="楷体_GB2312" w:hAnsi="宋体" w:hint="eastAsia"/>
          <w:b/>
          <w:sz w:val="32"/>
          <w:szCs w:val="32"/>
          <w:lang w:val="zh-CN"/>
        </w:rPr>
      </w:pPr>
      <w:r>
        <w:rPr>
          <w:rFonts w:ascii="楷体_GB2312" w:eastAsia="楷体_GB2312" w:hAnsi="宋体" w:hint="eastAsia"/>
          <w:b/>
          <w:sz w:val="32"/>
          <w:szCs w:val="32"/>
          <w:lang w:val="en-US" w:eastAsia="zh-CN"/>
        </w:rPr>
        <w:t>(二）项目管理情况。</w:t>
      </w:r>
    </w:p>
    <w:p>
      <w:pPr>
        <w:adjustRightInd w:val="0"/>
        <w:snapToGrid w:val="0"/>
        <w:spacing w:line="578" w:lineRule="exact"/>
        <w:ind w:firstLine="720"/>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组织文艺工作者开展主题采风活动，创作推出一批反映建设历史、展现改革风貌、讴歌时代发展的文学、美术书法、音乐舞蹈、舞台剧等文艺精品。完成“百年红心—讴歌英雄攀枝花·献礼中国共产党百年华诞”主题征文活动、美术作品展、摄影作品展。</w:t>
      </w:r>
    </w:p>
    <w:p>
      <w:pPr>
        <w:adjustRightInd w:val="0"/>
        <w:snapToGrid w:val="0"/>
        <w:spacing w:line="578" w:lineRule="exact"/>
        <w:ind w:firstLine="720"/>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业务科室执行项目过程中遵守财经纪律，项目开展有序，按时间节奏顺利推进，确保项目工作于年底前圆满完成。将项目绩效管理贯穿于事前、事中、事后评价。事前由党组会审议、事中绩效监控、事后绩效自评。</w:t>
      </w:r>
    </w:p>
    <w:p>
      <w:pPr>
        <w:adjustRightInd w:val="0"/>
        <w:snapToGrid w:val="0"/>
        <w:spacing w:line="578" w:lineRule="exact"/>
        <w:ind w:firstLine="720"/>
        <w:rPr>
          <w:rFonts w:ascii="楷体_GB2312" w:eastAsia="楷体_GB2312" w:hAnsi="宋体" w:hint="eastAsia"/>
          <w:b/>
          <w:sz w:val="32"/>
          <w:szCs w:val="32"/>
          <w:lang w:val="zh-CN"/>
        </w:rPr>
      </w:pPr>
      <w:r>
        <w:rPr>
          <w:rFonts w:ascii="楷体_GB2312" w:eastAsia="楷体_GB2312" w:hAnsi="宋体" w:hint="eastAsia"/>
          <w:b/>
          <w:sz w:val="32"/>
          <w:szCs w:val="32"/>
          <w:lang w:val="en-US" w:eastAsia="zh-CN"/>
        </w:rPr>
        <w:t>（三）项目监管情况。</w:t>
      </w:r>
    </w:p>
    <w:p>
      <w:pPr>
        <w:adjustRightInd w:val="0"/>
        <w:snapToGrid w:val="0"/>
        <w:spacing w:line="578" w:lineRule="exact"/>
        <w:ind w:firstLine="720"/>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项目资金按项目执行进度情况支付，资金使用情况通过预决算公开。重大经费开支由党组会集体决议，经费开支由市文联财务统一核算。市文联统筹推进项目实施，各部室院具体承办，全员配合。</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方正仿宋_GBK" w:eastAsia="方正仿宋_GBK" w:cs="方正仿宋_GBK" w:hAnsi="方正仿宋_GBK" w:hint="eastAsia"/>
          <w:caps w:val="0"/>
          <w:smallCaps w:val="0"/>
          <w:color w:val="auto"/>
          <w:kern w:val="2"/>
          <w:sz w:val="33"/>
          <w:szCs w:val="33"/>
          <w:vertAlign w:val="baseline"/>
        </w:rPr>
      </w:pPr>
      <w:r>
        <w:rPr>
          <w:rFonts w:ascii="黑体" w:eastAsia="黑体" w:hAnsi="宋体" w:hint="eastAsia"/>
          <w:sz w:val="32"/>
          <w:szCs w:val="32"/>
          <w:lang w:val="en-US" w:eastAsia="zh-CN"/>
        </w:rPr>
        <w:t>四、项目绩效情况</w:t>
      </w:r>
      <w:r>
        <w:rPr>
          <w:rFonts w:ascii="方正仿宋_GBK" w:eastAsia="方正仿宋_GBK" w:cs="方正仿宋_GBK" w:hAnsi="方正仿宋_GBK" w:hint="eastAsia"/>
          <w:b w:val="0"/>
          <w:bCs w:val="0"/>
          <w:caps w:val="0"/>
          <w:smallCaps w:val="0"/>
          <w:color w:val="auto"/>
          <w:kern w:val="2"/>
          <w:sz w:val="33"/>
          <w:szCs w:val="33"/>
          <w:vertAlign w:val="baseline"/>
          <w:lang w:val="en-US" w:eastAsia="zh-CN"/>
        </w:rPr>
        <w:tab/>
      </w:r>
    </w:p>
    <w:p>
      <w:pPr>
        <w:adjustRightInd w:val="0"/>
        <w:snapToGrid w:val="0"/>
        <w:spacing w:line="578" w:lineRule="exact"/>
        <w:ind w:firstLine="720"/>
        <w:rPr>
          <w:rFonts w:ascii="楷体_GB2312" w:eastAsia="楷体_GB2312" w:hAnsi="宋体" w:hint="eastAsia"/>
          <w:b/>
          <w:sz w:val="32"/>
          <w:szCs w:val="32"/>
          <w:lang w:val="zh-CN"/>
        </w:rPr>
      </w:pPr>
      <w:r>
        <w:rPr>
          <w:rFonts w:ascii="楷体_GB2312" w:eastAsia="楷体_GB2312" w:hAnsi="宋体" w:hint="eastAsia"/>
          <w:b/>
          <w:sz w:val="32"/>
          <w:szCs w:val="32"/>
          <w:lang w:val="en-US" w:eastAsia="zh-CN"/>
        </w:rPr>
        <w:t>（一）项目完成情况。</w:t>
      </w:r>
    </w:p>
    <w:p>
      <w:pPr>
        <w:widowControl/>
        <w:adjustRightInd w:val="0"/>
        <w:snapToGrid w:val="0"/>
        <w:spacing w:line="578" w:lineRule="exact"/>
        <w:ind w:firstLineChars="200" w:firstLine="640"/>
        <w:contextualSpacing/>
        <w:rPr>
          <w:rFonts w:ascii="仿宋_GB2312" w:eastAsia="仿宋_GB2312" w:cs="仿宋_GB2312" w:hAnsi="仿宋_GB2312" w:hint="eastAsia"/>
          <w:kern w:val="0"/>
          <w:sz w:val="32"/>
          <w:szCs w:val="32"/>
          <w:shd w:val="clear" w:color="auto" w:fill="FFFFFF"/>
        </w:rPr>
      </w:pPr>
      <w:r>
        <w:rPr>
          <w:rFonts w:ascii="仿宋_GB2312" w:eastAsia="仿宋_GB2312" w:cs="仿宋_GB2312" w:hAnsi="仿宋_GB2312" w:hint="eastAsia"/>
          <w:kern w:val="0"/>
          <w:sz w:val="32"/>
          <w:szCs w:val="32"/>
          <w:shd w:val="clear" w:color="auto" w:fill="FFFFFF"/>
          <w:lang w:val="en-US" w:eastAsia="zh-CN"/>
        </w:rPr>
        <w:t>该项目按照时间进度完成，总成本10万元，主要用于支付征文稿酬费、出版印刷费、展览费、评审费等。</w:t>
      </w:r>
    </w:p>
    <w:p>
      <w:pPr>
        <w:widowControl/>
        <w:adjustRightInd w:val="0"/>
        <w:snapToGrid w:val="0"/>
        <w:spacing w:line="578" w:lineRule="exact"/>
        <w:ind w:firstLineChars="200" w:firstLine="640"/>
        <w:contextualSpacing/>
        <w:rPr>
          <w:rFonts w:ascii="仿宋_GB2312" w:eastAsia="仿宋_GB2312" w:cs="仿宋_GB2312" w:hAnsi="仿宋_GB2312" w:hint="eastAsia"/>
          <w:kern w:val="0"/>
          <w:sz w:val="32"/>
          <w:szCs w:val="32"/>
          <w:shd w:val="clear" w:color="auto" w:fill="FFFFFF"/>
        </w:rPr>
      </w:pPr>
      <w:r>
        <w:rPr>
          <w:rFonts w:ascii="仿宋_GB2312" w:eastAsia="仿宋_GB2312" w:cs="仿宋_GB2312" w:hAnsi="仿宋_GB2312" w:hint="eastAsia"/>
          <w:kern w:val="0"/>
          <w:sz w:val="32"/>
          <w:szCs w:val="32"/>
          <w:shd w:val="clear" w:color="auto" w:fill="FFFFFF"/>
          <w:lang w:val="en-US" w:eastAsia="zh-CN"/>
        </w:rPr>
        <w:t>在成本控制方面，在项目支出时，注重精打细算，重视投入产出比，争取最少的经济投入撬动更大的社会效益，进一步推动文艺事业发展；重视项目成果和质量指标，对项目开展结果追求高质量、高标准。在项目工作中，注重项目的社会效益，对讴歌英雄攀枝花，献礼中国共产党百年华诞，宣传攀枝花城市形象、弘扬三线建设精神，扶持本土作家画家，打造本文化品牌起了推动作用；社会效益进一步扩大，积极推动攀枝花实现可持续发展。</w:t>
      </w:r>
    </w:p>
    <w:p>
      <w:pPr>
        <w:widowControl/>
        <w:adjustRightInd w:val="0"/>
        <w:snapToGrid w:val="0"/>
        <w:spacing w:line="578" w:lineRule="exact"/>
        <w:ind w:firstLineChars="200" w:firstLine="640"/>
        <w:contextualSpacing/>
        <w:rPr>
          <w:rFonts w:ascii="仿宋_GB2312" w:eastAsia="仿宋_GB2312" w:cs="仿宋_GB2312" w:hAnsi="仿宋_GB2312" w:hint="eastAsia"/>
          <w:kern w:val="0"/>
          <w:sz w:val="32"/>
          <w:szCs w:val="32"/>
          <w:shd w:val="clear" w:color="auto" w:fill="FFFFFF"/>
        </w:rPr>
      </w:pPr>
      <w:r>
        <w:rPr>
          <w:rFonts w:ascii="仿宋_GB2312" w:eastAsia="仿宋_GB2312" w:cs="仿宋_GB2312" w:hAnsi="仿宋_GB2312" w:hint="eastAsia"/>
          <w:kern w:val="0"/>
          <w:sz w:val="32"/>
          <w:szCs w:val="32"/>
          <w:shd w:val="clear" w:color="auto" w:fill="FFFFFF"/>
          <w:lang w:val="en-US" w:eastAsia="zh-CN"/>
        </w:rPr>
        <w:t>在质量标准方面，坚持推出质量上乘的文艺作品，培养一批高水平文艺人才，各文艺门类作品达到相应水准，在公开平台上展现展示。</w:t>
      </w:r>
    </w:p>
    <w:p>
      <w:pPr>
        <w:widowControl/>
        <w:adjustRightInd w:val="0"/>
        <w:snapToGrid w:val="0"/>
        <w:spacing w:line="578" w:lineRule="exact"/>
        <w:ind w:firstLineChars="200" w:firstLine="640"/>
        <w:contextualSpacing/>
        <w:rPr>
          <w:rFonts w:ascii="仿宋_GB2312" w:eastAsia="仿宋_GB2312" w:cs="仿宋_GB2312" w:hAnsi="仿宋_GB2312" w:hint="eastAsia"/>
          <w:kern w:val="0"/>
          <w:sz w:val="32"/>
          <w:szCs w:val="32"/>
          <w:shd w:val="clear" w:color="auto" w:fill="FFFFFF"/>
        </w:rPr>
      </w:pPr>
      <w:r>
        <w:rPr>
          <w:rFonts w:ascii="仿宋_GB2312" w:eastAsia="仿宋_GB2312" w:cs="仿宋_GB2312" w:hAnsi="仿宋_GB2312" w:hint="eastAsia"/>
          <w:kern w:val="0"/>
          <w:sz w:val="32"/>
          <w:szCs w:val="32"/>
          <w:shd w:val="clear" w:color="auto" w:fill="FFFFFF"/>
          <w:lang w:val="en-US" w:eastAsia="zh-CN"/>
        </w:rPr>
        <w:t>在数量指标方面：展览展出4个文艺门类的作品，其中文学作品征集展示200余篇，书法作品入选精品80件。</w:t>
      </w:r>
    </w:p>
    <w:p>
      <w:pPr>
        <w:adjustRightInd w:val="0"/>
        <w:snapToGrid w:val="0"/>
        <w:spacing w:line="578" w:lineRule="exact"/>
        <w:ind w:firstLine="720"/>
        <w:rPr>
          <w:rFonts w:ascii="楷体_GB2312" w:eastAsia="楷体_GB2312" w:hAnsi="宋体" w:hint="eastAsia"/>
          <w:b/>
          <w:sz w:val="32"/>
          <w:szCs w:val="32"/>
          <w:lang w:val="zh-CN"/>
        </w:rPr>
      </w:pPr>
      <w:r>
        <w:rPr>
          <w:rFonts w:ascii="楷体_GB2312" w:eastAsia="楷体_GB2312" w:hAnsi="宋体" w:hint="eastAsia"/>
          <w:b/>
          <w:sz w:val="32"/>
          <w:szCs w:val="32"/>
          <w:lang w:val="en-US" w:eastAsia="zh-CN"/>
        </w:rPr>
        <w:t>（二）项目效益情况。</w:t>
      </w:r>
    </w:p>
    <w:p>
      <w:pPr>
        <w:widowControl/>
        <w:adjustRightInd w:val="0"/>
        <w:snapToGrid w:val="0"/>
        <w:spacing w:line="578" w:lineRule="exact"/>
        <w:ind w:firstLineChars="200" w:firstLine="640"/>
        <w:contextualSpacing/>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从项目社会效益方面，围绕庆祝中国共产党成立100周年，反映在中国共产党领导下“三线”建设取得的巨大成就，新中国史、改革开放史和新时代的伟大实践，反映攀枝花开发建设成就、展现改革风貌、讴歌时代发展、弘扬三线精神的书画、摄影、文学、书法作品。</w:t>
      </w:r>
    </w:p>
    <w:p>
      <w:pPr>
        <w:adjustRightInd w:val="0"/>
        <w:snapToGrid w:val="0"/>
        <w:spacing w:line="578" w:lineRule="exact"/>
        <w:ind w:firstLine="720"/>
        <w:rPr>
          <w:rFonts w:ascii="黑体" w:eastAsia="黑体" w:hAnsi="宋体" w:hint="eastAsia"/>
          <w:sz w:val="32"/>
          <w:szCs w:val="32"/>
        </w:rPr>
      </w:pPr>
      <w:r>
        <w:rPr>
          <w:rFonts w:ascii="黑体" w:eastAsia="黑体" w:hAnsi="宋体" w:hint="eastAsia"/>
          <w:sz w:val="32"/>
          <w:szCs w:val="32"/>
          <w:lang w:val="en-US" w:eastAsia="zh-CN"/>
        </w:rPr>
        <w:t>五、评价结论及建议</w:t>
      </w:r>
    </w:p>
    <w:p>
      <w:pPr>
        <w:adjustRightInd w:val="0"/>
        <w:snapToGrid w:val="0"/>
        <w:spacing w:line="578" w:lineRule="exact"/>
        <w:ind w:firstLine="720"/>
        <w:rPr>
          <w:rFonts w:ascii="楷体_GB2312" w:eastAsia="楷体_GB2312" w:hAnsi="宋体" w:hint="eastAsia"/>
          <w:b/>
          <w:sz w:val="32"/>
          <w:szCs w:val="32"/>
          <w:lang w:val="zh-CN"/>
        </w:rPr>
      </w:pPr>
      <w:r>
        <w:rPr>
          <w:rFonts w:ascii="楷体_GB2312" w:eastAsia="楷体_GB2312" w:hAnsi="宋体" w:hint="eastAsia"/>
          <w:b/>
          <w:sz w:val="32"/>
          <w:szCs w:val="32"/>
          <w:lang w:val="en-US" w:eastAsia="zh-CN"/>
        </w:rPr>
        <w:t>（一）评价结论。</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详见《2023年市级专项预算项目支出绩效评价指标体系》，自评得分94.40分。</w:t>
      </w:r>
    </w:p>
    <w:p>
      <w:pPr>
        <w:widowControl/>
        <w:adjustRightInd w:val="0"/>
        <w:snapToGrid w:val="0"/>
        <w:spacing w:line="578" w:lineRule="exact"/>
        <w:ind w:firstLineChars="200" w:firstLine="640"/>
        <w:contextualSpacing/>
        <w:jc w:val="left"/>
        <w:rPr>
          <w:rFonts w:ascii="仿宋_GB2312" w:eastAsia="仿宋_GB2312" w:cs="仿宋_GB2312" w:hAnsi="仿宋_GB2312" w:hint="eastAsia"/>
          <w:kern w:val="0"/>
          <w:sz w:val="32"/>
          <w:szCs w:val="32"/>
          <w:shd w:val="clear" w:color="auto" w:fill="FFFFFF"/>
          <w:lang w:val="zh-CN"/>
        </w:rPr>
      </w:pPr>
      <w:r>
        <w:rPr>
          <w:rFonts w:ascii="仿宋_GB2312" w:eastAsia="仿宋_GB2312" w:cs="仿宋_GB2312" w:hAnsi="仿宋_GB2312" w:hint="eastAsia"/>
          <w:kern w:val="0"/>
          <w:sz w:val="32"/>
          <w:szCs w:val="32"/>
          <w:shd w:val="clear" w:color="auto" w:fill="FFFFFF"/>
          <w:lang w:val="en-US" w:eastAsia="zh-CN"/>
        </w:rPr>
        <w:t>市文联所属项目开展总体较好。项目工作推进有序，年底均能顺利完成；项目严格进行了成本控制，经费开支从严把关，依法公开；坚持重大事项集体研究，决策科学，符合文艺事业发展规律，又促进了文艺事业发展。取得了较好的社会效益，推出了一批优秀文艺作品和培养了优秀艺术人才；讴歌了英雄攀枝花，献礼中国共产党百年华诞，为文艺事业积存了成果，推动城市文化品牌建设，繁荣了攀枝花艺术创作，积极宣传了攀枝花城市新形象；开展了文艺扶贫促进了公益事业发展；文艺队伍壮大，文艺成果丰硕，文艺惠民工程取得实效。</w:t>
      </w:r>
    </w:p>
    <w:p>
      <w:pPr>
        <w:adjustRightInd w:val="0"/>
        <w:snapToGrid w:val="0"/>
        <w:spacing w:line="578" w:lineRule="exact"/>
        <w:ind w:firstLine="720"/>
        <w:rPr>
          <w:rFonts w:ascii="楷体_GB2312" w:eastAsia="楷体_GB2312" w:hAnsi="宋体" w:hint="eastAsia"/>
          <w:b/>
          <w:sz w:val="32"/>
          <w:szCs w:val="32"/>
          <w:lang w:val="zh-CN"/>
        </w:rPr>
      </w:pPr>
      <w:r>
        <w:rPr>
          <w:rFonts w:ascii="楷体_GB2312" w:eastAsia="楷体_GB2312" w:hAnsi="宋体" w:hint="eastAsia"/>
          <w:b/>
          <w:sz w:val="32"/>
          <w:szCs w:val="32"/>
          <w:lang w:val="en-US" w:eastAsia="zh-CN"/>
        </w:rPr>
        <w:t>（二）存在的问题。</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Chars="200" w:firstLine="660"/>
        <w:jc w:val="both"/>
        <w:outlineLvl w:val="9"/>
        <w:rPr>
          <w:rFonts w:ascii="方正仿宋_GBK" w:eastAsia="方正仿宋_GBK" w:cs="方正仿宋_GBK" w:hAnsi="方正仿宋_GBK" w:hint="eastAsia"/>
          <w:caps w:val="0"/>
          <w:smallCaps w:val="0"/>
          <w:color w:val="auto"/>
          <w:kern w:val="2"/>
          <w:sz w:val="33"/>
          <w:szCs w:val="33"/>
          <w:vertAlign w:val="baseline"/>
        </w:rPr>
      </w:pPr>
      <w:r>
        <w:rPr>
          <w:rFonts w:ascii="方正仿宋_GBK" w:eastAsia="方正仿宋_GBK" w:cs="方正仿宋_GBK" w:hAnsi="方正仿宋_GBK" w:hint="eastAsia"/>
          <w:b w:val="0"/>
          <w:bCs w:val="0"/>
          <w:caps w:val="0"/>
          <w:smallCaps w:val="0"/>
          <w:color w:val="auto"/>
          <w:kern w:val="2"/>
          <w:sz w:val="33"/>
          <w:szCs w:val="33"/>
          <w:vertAlign w:val="baseline"/>
          <w:lang w:val="en-US" w:eastAsia="zh-CN"/>
        </w:rPr>
        <w:t>无</w:t>
        <w:tab/>
      </w:r>
    </w:p>
    <w:p>
      <w:pPr>
        <w:adjustRightInd w:val="0"/>
        <w:snapToGrid w:val="0"/>
        <w:spacing w:line="578" w:lineRule="exact"/>
        <w:ind w:firstLine="720"/>
        <w:rPr>
          <w:rFonts w:ascii="楷体_GB2312" w:eastAsia="楷体_GB2312" w:hAnsi="宋体" w:hint="eastAsia"/>
          <w:b/>
          <w:sz w:val="32"/>
          <w:szCs w:val="32"/>
          <w:lang w:val="zh-CN"/>
        </w:rPr>
      </w:pPr>
      <w:r>
        <w:rPr>
          <w:rFonts w:ascii="楷体_GB2312" w:eastAsia="楷体_GB2312" w:hAnsi="宋体" w:hint="eastAsia"/>
          <w:b/>
          <w:sz w:val="32"/>
          <w:szCs w:val="32"/>
          <w:lang w:val="en-US" w:eastAsia="zh-CN"/>
        </w:rPr>
        <w:t>（三）相关建议。</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Chars="200" w:firstLine="660"/>
        <w:jc w:val="both"/>
        <w:outlineLvl w:val="9"/>
        <w:rPr>
          <w:rFonts w:ascii="方正仿宋_GBK" w:eastAsia="方正仿宋_GBK" w:cs="方正仿宋_GBK" w:hAnsi="方正仿宋_GBK" w:hint="eastAsia"/>
          <w:caps w:val="0"/>
          <w:smallCaps w:val="0"/>
          <w:color w:val="auto"/>
          <w:kern w:val="0"/>
          <w:sz w:val="33"/>
          <w:szCs w:val="33"/>
          <w:vertAlign w:val="baseline"/>
        </w:rPr>
      </w:pPr>
      <w:r>
        <w:rPr>
          <w:rFonts w:ascii="方正仿宋_GBK" w:eastAsia="方正仿宋_GBK" w:cs="方正仿宋_GBK" w:hAnsi="方正仿宋_GBK" w:hint="eastAsia"/>
          <w:b w:val="0"/>
          <w:bCs w:val="0"/>
          <w:caps w:val="0"/>
          <w:smallCaps w:val="0"/>
          <w:color w:val="auto"/>
          <w:kern w:val="0"/>
          <w:sz w:val="33"/>
          <w:szCs w:val="33"/>
          <w:vertAlign w:val="baseline"/>
          <w:lang w:val="en-US" w:eastAsia="zh-CN"/>
        </w:rPr>
        <w:t>无</w:t>
      </w:r>
    </w:p>
    <w:p>
      <w:pPr>
        <w:spacing w:line="580" w:lineRule="exact"/>
        <w:rPr>
          <w:rStyle w:val="1Char"/>
          <w:rFonts w:ascii="黑体" w:eastAsia="黑体" w:hAnsi="黑体"/>
          <w:b w:val="0"/>
        </w:rPr>
      </w:pPr>
    </w:p>
    <w:p>
      <w:pPr>
        <w:widowControl/>
        <w:jc w:val="left"/>
        <w:rPr>
          <w:rStyle w:val="1Char"/>
          <w:rFonts w:ascii="黑体" w:eastAsia="黑体" w:hAnsi="黑体"/>
          <w:b w:val="0"/>
        </w:rPr>
      </w:pPr>
      <w:r>
        <w:rPr>
          <w:rStyle w:val="1Char"/>
          <w:rFonts w:ascii="黑体" w:eastAsia="黑体" w:hAnsi="黑体"/>
          <w:b w:val="0"/>
        </w:rPr>
        <w:br w:type="page"/>
      </w:r>
    </w:p>
    <w:p>
      <w:pPr>
        <w:spacing w:line="600" w:lineRule="exact"/>
        <w:jc w:val="center"/>
        <w:outlineLvl w:val="0"/>
        <w:rPr>
          <w:rFonts w:ascii="仿宋" w:eastAsia="仿宋" w:hAnsi="仿宋"/>
        </w:rPr>
      </w:pPr>
      <w:bookmarkStart w:id="85" w:name="_Toc32042"/>
      <w:bookmarkStart w:id="86" w:name="_Toc4035"/>
      <w:bookmarkStart w:id="87" w:name="_Toc15396618"/>
      <w:r>
        <w:rPr>
          <w:rFonts w:ascii="黑体" w:eastAsia="黑体" w:hAnsi="黑体" w:hint="eastAsia"/>
          <w:sz w:val="44"/>
          <w:szCs w:val="44"/>
        </w:rPr>
        <w:t>第</w:t>
      </w:r>
      <w:r>
        <w:rPr>
          <w:rStyle w:val="1Char"/>
          <w:rFonts w:ascii="黑体" w:eastAsia="黑体" w:hAnsi="黑体" w:hint="eastAsia"/>
          <w:b w:val="0"/>
        </w:rPr>
        <w:t>五部分 附表</w:t>
      </w:r>
      <w:bookmarkStart w:id="88" w:name="_Toc15396619"/>
      <w:bookmarkEnd w:id="79"/>
      <w:bookmarkEnd w:id="85"/>
      <w:bookmarkEnd w:id="86"/>
      <w:bookmarkEnd w:id="87"/>
    </w:p>
    <w:p>
      <w:pPr>
        <w:pStyle w:val="2"/>
        <w:rPr>
          <w:rFonts w:ascii="仿宋" w:eastAsia="仿宋" w:hAnsi="仿宋"/>
        </w:rPr>
      </w:pPr>
      <w:bookmarkStart w:id="89" w:name="_Toc24933"/>
      <w:r>
        <w:rPr>
          <w:rFonts w:ascii="仿宋" w:eastAsia="仿宋" w:hAnsi="仿宋" w:hint="eastAsia"/>
          <w:b w:val="0"/>
        </w:rPr>
        <w:t>一、收</w:t>
      </w:r>
      <w:r>
        <w:rPr>
          <w:rStyle w:val="2Char"/>
          <w:rFonts w:ascii="仿宋" w:eastAsia="仿宋" w:hAnsi="仿宋" w:hint="eastAsia"/>
          <w:b w:val="0"/>
          <w:bCs w:val="0"/>
        </w:rPr>
        <w:t>入支出决算总表</w:t>
      </w:r>
      <w:bookmarkEnd w:id="88"/>
      <w:bookmarkEnd w:id="89"/>
    </w:p>
    <w:p>
      <w:pPr>
        <w:pStyle w:val="2"/>
        <w:rPr>
          <w:rFonts w:ascii="仿宋" w:eastAsia="仿宋" w:hAnsi="仿宋"/>
        </w:rPr>
      </w:pPr>
      <w:bookmarkStart w:id="90" w:name="_Toc15396620"/>
      <w:bookmarkStart w:id="91" w:name="_Toc32729"/>
      <w:r>
        <w:rPr>
          <w:rFonts w:ascii="仿宋" w:eastAsia="仿宋" w:hAnsi="仿宋" w:hint="eastAsia"/>
          <w:b w:val="0"/>
        </w:rPr>
        <w:t>二、收</w:t>
      </w:r>
      <w:r>
        <w:rPr>
          <w:rStyle w:val="2Char"/>
          <w:rFonts w:ascii="仿宋" w:eastAsia="仿宋" w:hAnsi="仿宋" w:hint="eastAsia"/>
          <w:b w:val="0"/>
          <w:bCs w:val="0"/>
        </w:rPr>
        <w:t>入决算表</w:t>
      </w:r>
      <w:bookmarkEnd w:id="90"/>
      <w:bookmarkEnd w:id="91"/>
    </w:p>
    <w:p>
      <w:pPr>
        <w:pStyle w:val="2"/>
        <w:rPr>
          <w:rFonts w:ascii="仿宋" w:eastAsia="仿宋" w:hAnsi="仿宋"/>
        </w:rPr>
      </w:pPr>
      <w:bookmarkStart w:id="92" w:name="_Toc15396621"/>
      <w:bookmarkStart w:id="93" w:name="_Toc11906"/>
      <w:r>
        <w:rPr>
          <w:rStyle w:val="2Char"/>
          <w:rFonts w:ascii="仿宋" w:eastAsia="仿宋" w:hAnsi="仿宋" w:hint="eastAsia"/>
          <w:b w:val="0"/>
          <w:bCs w:val="0"/>
        </w:rPr>
        <w:t>三、</w:t>
      </w:r>
      <w:r>
        <w:rPr>
          <w:rFonts w:ascii="仿宋" w:eastAsia="仿宋" w:hAnsi="仿宋" w:hint="eastAsia"/>
          <w:b w:val="0"/>
        </w:rPr>
        <w:t>支</w:t>
      </w:r>
      <w:r>
        <w:rPr>
          <w:rStyle w:val="2Char"/>
          <w:rFonts w:ascii="仿宋" w:eastAsia="仿宋" w:hAnsi="仿宋" w:hint="eastAsia"/>
          <w:b w:val="0"/>
          <w:bCs w:val="0"/>
        </w:rPr>
        <w:t>出决算表</w:t>
      </w:r>
      <w:bookmarkEnd w:id="92"/>
      <w:bookmarkEnd w:id="93"/>
    </w:p>
    <w:p>
      <w:pPr>
        <w:pStyle w:val="2"/>
        <w:rPr>
          <w:rFonts w:ascii="仿宋" w:eastAsia="仿宋" w:hAnsi="仿宋"/>
          <w:b w:val="0"/>
        </w:rPr>
      </w:pPr>
      <w:bookmarkStart w:id="94" w:name="_Toc555"/>
      <w:bookmarkStart w:id="95" w:name="_Toc15396622"/>
      <w:r>
        <w:rPr>
          <w:rStyle w:val="2Char"/>
          <w:rFonts w:ascii="仿宋" w:eastAsia="仿宋" w:hAnsi="仿宋" w:hint="eastAsia"/>
          <w:b w:val="0"/>
          <w:bCs w:val="0"/>
        </w:rPr>
        <w:t>四、</w:t>
      </w:r>
      <w:r>
        <w:rPr>
          <w:rFonts w:ascii="仿宋" w:eastAsia="仿宋" w:hAnsi="仿宋" w:hint="eastAsia"/>
          <w:b w:val="0"/>
        </w:rPr>
        <w:t>财</w:t>
      </w:r>
      <w:r>
        <w:rPr>
          <w:rStyle w:val="2Char"/>
          <w:rFonts w:ascii="仿宋" w:eastAsia="仿宋" w:hAnsi="仿宋" w:hint="eastAsia"/>
          <w:b w:val="0"/>
          <w:bCs w:val="0"/>
        </w:rPr>
        <w:t>政拨款收入支出决算总表</w:t>
      </w:r>
      <w:bookmarkEnd w:id="94"/>
      <w:bookmarkEnd w:id="95"/>
    </w:p>
    <w:p>
      <w:pPr>
        <w:pStyle w:val="2"/>
        <w:rPr>
          <w:rStyle w:val="2Char"/>
          <w:rFonts w:ascii="仿宋" w:eastAsia="仿宋" w:hAnsi="仿宋"/>
          <w:b w:val="0"/>
          <w:bCs w:val="0"/>
        </w:rPr>
      </w:pPr>
      <w:bookmarkStart w:id="96" w:name="_Toc15396623"/>
      <w:bookmarkStart w:id="97" w:name="_Toc12081"/>
      <w:r>
        <w:rPr>
          <w:rStyle w:val="2Char"/>
          <w:rFonts w:ascii="仿宋" w:eastAsia="仿宋" w:hAnsi="仿宋" w:hint="eastAsia"/>
          <w:b w:val="0"/>
          <w:bCs w:val="0"/>
        </w:rPr>
        <w:t>五、</w:t>
      </w:r>
      <w:r>
        <w:rPr>
          <w:rFonts w:ascii="仿宋" w:eastAsia="仿宋" w:hAnsi="仿宋" w:hint="eastAsia"/>
          <w:b w:val="0"/>
        </w:rPr>
        <w:t>财</w:t>
      </w:r>
      <w:r>
        <w:rPr>
          <w:rStyle w:val="2Char"/>
          <w:rFonts w:ascii="仿宋" w:eastAsia="仿宋" w:hAnsi="仿宋" w:hint="eastAsia"/>
          <w:b w:val="0"/>
          <w:bCs w:val="0"/>
        </w:rPr>
        <w:t>政拨款支出决算明细表</w:t>
      </w:r>
      <w:bookmarkStart w:id="98" w:name="_Toc15396624"/>
      <w:bookmarkEnd w:id="96"/>
      <w:bookmarkEnd w:id="97"/>
    </w:p>
    <w:p>
      <w:pPr>
        <w:pStyle w:val="2"/>
        <w:rPr>
          <w:rFonts w:ascii="仿宋" w:eastAsia="仿宋" w:hAnsi="仿宋"/>
        </w:rPr>
      </w:pPr>
      <w:bookmarkStart w:id="99" w:name="_Toc6988"/>
      <w:r>
        <w:rPr>
          <w:rStyle w:val="2Char"/>
          <w:rFonts w:ascii="仿宋" w:eastAsia="仿宋" w:hAnsi="仿宋" w:hint="eastAsia"/>
          <w:b w:val="0"/>
          <w:bCs w:val="0"/>
        </w:rPr>
        <w:t>六、</w:t>
      </w:r>
      <w:r>
        <w:rPr>
          <w:rFonts w:ascii="仿宋" w:eastAsia="仿宋" w:hAnsi="仿宋" w:hint="eastAsia"/>
          <w:b w:val="0"/>
        </w:rPr>
        <w:t>一</w:t>
      </w:r>
      <w:r>
        <w:rPr>
          <w:rStyle w:val="2Char"/>
          <w:rFonts w:ascii="仿宋" w:eastAsia="仿宋" w:hAnsi="仿宋" w:hint="eastAsia"/>
          <w:b w:val="0"/>
          <w:bCs w:val="0"/>
        </w:rPr>
        <w:t>般公共预算财政拨款支出决算表</w:t>
      </w:r>
      <w:bookmarkEnd w:id="98"/>
      <w:bookmarkEnd w:id="99"/>
    </w:p>
    <w:p>
      <w:pPr>
        <w:pStyle w:val="2"/>
        <w:rPr>
          <w:rFonts w:ascii="仿宋" w:eastAsia="仿宋" w:hAnsi="仿宋"/>
        </w:rPr>
      </w:pPr>
      <w:bookmarkStart w:id="100" w:name="_Toc15396625"/>
      <w:bookmarkStart w:id="101" w:name="_Toc31716"/>
      <w:r>
        <w:rPr>
          <w:rStyle w:val="2Char"/>
          <w:rFonts w:ascii="仿宋" w:eastAsia="仿宋" w:hAnsi="仿宋" w:hint="eastAsia"/>
          <w:b w:val="0"/>
          <w:bCs w:val="0"/>
        </w:rPr>
        <w:t>七、</w:t>
      </w:r>
      <w:r>
        <w:rPr>
          <w:rFonts w:ascii="仿宋" w:eastAsia="仿宋" w:hAnsi="仿宋" w:hint="eastAsia"/>
          <w:b w:val="0"/>
        </w:rPr>
        <w:t>一</w:t>
      </w:r>
      <w:r>
        <w:rPr>
          <w:rStyle w:val="2Char"/>
          <w:rFonts w:ascii="仿宋" w:eastAsia="仿宋" w:hAnsi="仿宋" w:hint="eastAsia"/>
          <w:b w:val="0"/>
          <w:bCs w:val="0"/>
        </w:rPr>
        <w:t>般公共预算财政拨款支出决算明细表</w:t>
      </w:r>
      <w:bookmarkEnd w:id="100"/>
      <w:bookmarkEnd w:id="101"/>
    </w:p>
    <w:p>
      <w:pPr>
        <w:pStyle w:val="2"/>
        <w:rPr>
          <w:rFonts w:ascii="仿宋" w:eastAsia="仿宋" w:hAnsi="仿宋"/>
        </w:rPr>
      </w:pPr>
      <w:bookmarkStart w:id="102" w:name="_Toc12306"/>
      <w:bookmarkStart w:id="103" w:name="_Toc15396626"/>
      <w:r>
        <w:rPr>
          <w:rStyle w:val="2Char"/>
          <w:rFonts w:ascii="仿宋" w:eastAsia="仿宋" w:hAnsi="仿宋" w:hint="eastAsia"/>
          <w:b w:val="0"/>
          <w:bCs w:val="0"/>
        </w:rPr>
        <w:t>八、</w:t>
      </w:r>
      <w:r>
        <w:rPr>
          <w:rFonts w:ascii="仿宋" w:eastAsia="仿宋" w:hAnsi="仿宋" w:hint="eastAsia"/>
          <w:b w:val="0"/>
        </w:rPr>
        <w:t>一</w:t>
      </w:r>
      <w:r>
        <w:rPr>
          <w:rStyle w:val="2Char"/>
          <w:rFonts w:ascii="仿宋" w:eastAsia="仿宋" w:hAnsi="仿宋" w:hint="eastAsia"/>
          <w:b w:val="0"/>
          <w:bCs w:val="0"/>
        </w:rPr>
        <w:t>般公共预算财政拨款基本支出决算表</w:t>
      </w:r>
      <w:bookmarkEnd w:id="102"/>
      <w:bookmarkEnd w:id="103"/>
    </w:p>
    <w:p>
      <w:pPr>
        <w:pStyle w:val="2"/>
        <w:rPr>
          <w:rFonts w:ascii="仿宋" w:eastAsia="仿宋" w:hAnsi="仿宋"/>
        </w:rPr>
      </w:pPr>
      <w:bookmarkStart w:id="104" w:name="_Toc923"/>
      <w:bookmarkStart w:id="105" w:name="_Toc15396627"/>
      <w:r>
        <w:rPr>
          <w:rStyle w:val="2Char"/>
          <w:rFonts w:ascii="仿宋" w:eastAsia="仿宋" w:hAnsi="仿宋" w:hint="eastAsia"/>
          <w:b w:val="0"/>
          <w:bCs w:val="0"/>
        </w:rPr>
        <w:t>九、</w:t>
      </w:r>
      <w:r>
        <w:rPr>
          <w:rFonts w:ascii="仿宋" w:eastAsia="仿宋" w:hAnsi="仿宋" w:hint="eastAsia"/>
          <w:b w:val="0"/>
        </w:rPr>
        <w:t>一</w:t>
      </w:r>
      <w:r>
        <w:rPr>
          <w:rStyle w:val="2Char"/>
          <w:rFonts w:ascii="仿宋" w:eastAsia="仿宋" w:hAnsi="仿宋" w:hint="eastAsia"/>
          <w:b w:val="0"/>
          <w:bCs w:val="0"/>
        </w:rPr>
        <w:t>般公共预算财政拨款项目支出决算表</w:t>
      </w:r>
      <w:bookmarkEnd w:id="104"/>
      <w:bookmarkEnd w:id="105"/>
    </w:p>
    <w:p>
      <w:pPr>
        <w:pStyle w:val="2"/>
        <w:rPr>
          <w:rFonts w:ascii="仿宋" w:eastAsia="仿宋" w:hAnsi="仿宋" w:hint="eastAsia"/>
          <w:lang w:val="en-US" w:eastAsia="zh-CN"/>
        </w:rPr>
      </w:pPr>
      <w:bookmarkStart w:id="106" w:name="_Toc15396628"/>
      <w:bookmarkStart w:id="107" w:name="_Toc8945"/>
      <w:r>
        <w:rPr>
          <w:rStyle w:val="2Char"/>
          <w:rFonts w:ascii="仿宋" w:eastAsia="仿宋" w:hAnsi="仿宋" w:hint="eastAsia"/>
          <w:b w:val="0"/>
          <w:bCs w:val="0"/>
        </w:rPr>
        <w:t>十、</w:t>
      </w:r>
      <w:bookmarkEnd w:id="106"/>
      <w:r>
        <w:rPr>
          <w:rFonts w:ascii="仿宋" w:eastAsia="仿宋" w:hAnsi="仿宋" w:hint="eastAsia"/>
          <w:b w:val="0"/>
        </w:rPr>
        <w:t>政</w:t>
      </w:r>
      <w:r>
        <w:rPr>
          <w:rStyle w:val="2Char"/>
          <w:rFonts w:ascii="仿宋" w:eastAsia="仿宋" w:hAnsi="仿宋" w:hint="eastAsia"/>
          <w:b w:val="0"/>
          <w:bCs w:val="0"/>
        </w:rPr>
        <w:t>府性基金预算财政拨款收入支出决算表</w:t>
      </w:r>
      <w:r>
        <w:rPr>
          <w:rStyle w:val="2Char"/>
          <w:rFonts w:ascii="仿宋" w:eastAsia="仿宋" w:hAnsi="仿宋" w:hint="eastAsia"/>
          <w:b w:val="0"/>
          <w:bCs w:val="0"/>
          <w:lang w:val="en-US" w:eastAsia="zh-CN"/>
        </w:rPr>
        <w:t>(此表无数据）</w:t>
      </w:r>
      <w:bookmarkEnd w:id="107"/>
    </w:p>
    <w:p>
      <w:pPr>
        <w:pStyle w:val="2"/>
        <w:rPr>
          <w:rFonts w:ascii="仿宋" w:eastAsia="仿宋" w:hAnsi="仿宋"/>
        </w:rPr>
      </w:pPr>
      <w:bookmarkStart w:id="108" w:name="_Toc15396629"/>
      <w:bookmarkStart w:id="109" w:name="_Toc30859"/>
      <w:r>
        <w:rPr>
          <w:rStyle w:val="2Char"/>
          <w:rFonts w:ascii="仿宋" w:eastAsia="仿宋" w:hAnsi="仿宋" w:hint="eastAsia"/>
          <w:b w:val="0"/>
          <w:bCs w:val="0"/>
        </w:rPr>
        <w:t>十一、</w:t>
      </w:r>
      <w:bookmarkEnd w:id="108"/>
      <w:r>
        <w:rPr>
          <w:rFonts w:ascii="仿宋" w:eastAsia="仿宋" w:hAnsi="仿宋" w:hint="eastAsia"/>
          <w:b w:val="0"/>
        </w:rPr>
        <w:t>国</w:t>
      </w:r>
      <w:r>
        <w:rPr>
          <w:rStyle w:val="2Char"/>
          <w:rFonts w:ascii="仿宋" w:eastAsia="仿宋" w:hAnsi="仿宋" w:hint="eastAsia"/>
          <w:b w:val="0"/>
          <w:bCs w:val="0"/>
        </w:rPr>
        <w:t>有资本经营预算财政拨款收入支出决算表</w:t>
      </w:r>
      <w:r>
        <w:rPr>
          <w:rStyle w:val="2Char"/>
          <w:rFonts w:ascii="仿宋" w:eastAsia="仿宋" w:hAnsi="仿宋" w:hint="eastAsia"/>
          <w:b w:val="0"/>
          <w:bCs w:val="0"/>
          <w:lang w:val="en-US" w:eastAsia="zh-CN"/>
        </w:rPr>
        <w:t>(此表无数据）</w:t>
      </w:r>
      <w:bookmarkEnd w:id="109"/>
    </w:p>
    <w:p>
      <w:pPr>
        <w:pStyle w:val="2"/>
        <w:rPr>
          <w:rFonts w:ascii="仿宋" w:eastAsia="仿宋" w:hAnsi="仿宋"/>
        </w:rPr>
      </w:pPr>
      <w:bookmarkStart w:id="110" w:name="_Toc15396630"/>
      <w:bookmarkStart w:id="111" w:name="_Toc6301"/>
      <w:r>
        <w:rPr>
          <w:rStyle w:val="2Char"/>
          <w:rFonts w:ascii="仿宋" w:eastAsia="仿宋" w:hAnsi="仿宋" w:hint="eastAsia"/>
          <w:b w:val="0"/>
          <w:bCs w:val="0"/>
        </w:rPr>
        <w:t>十二、</w:t>
      </w:r>
      <w:bookmarkEnd w:id="110"/>
      <w:r>
        <w:rPr>
          <w:rStyle w:val="2Char"/>
          <w:rFonts w:ascii="仿宋" w:eastAsia="仿宋" w:hAnsi="仿宋" w:hint="eastAsia"/>
          <w:b w:val="0"/>
          <w:bCs w:val="0"/>
        </w:rPr>
        <w:t>国有资本经营预算财政拨款支出决算表</w:t>
      </w:r>
      <w:r>
        <w:rPr>
          <w:rStyle w:val="2Char"/>
          <w:rFonts w:ascii="仿宋" w:eastAsia="仿宋" w:hAnsi="仿宋" w:hint="eastAsia"/>
          <w:b w:val="0"/>
          <w:bCs w:val="0"/>
          <w:lang w:val="en-US" w:eastAsia="zh-CN"/>
        </w:rPr>
        <w:t>(此表无数据）</w:t>
      </w:r>
      <w:bookmarkEnd w:id="111"/>
    </w:p>
    <w:p>
      <w:pPr>
        <w:pStyle w:val="2"/>
        <w:rPr>
          <w:rFonts w:eastAsia="仿宋"/>
        </w:rPr>
      </w:pPr>
      <w:bookmarkStart w:id="112" w:name="_Toc15396631"/>
      <w:bookmarkStart w:id="113" w:name="_Toc25274"/>
      <w:r>
        <w:rPr>
          <w:rStyle w:val="2Char"/>
          <w:rFonts w:ascii="仿宋" w:eastAsia="仿宋" w:hAnsi="仿宋" w:hint="eastAsia"/>
          <w:b w:val="0"/>
          <w:bCs w:val="0"/>
        </w:rPr>
        <w:t>十三、</w:t>
      </w:r>
      <w:bookmarkEnd w:id="112"/>
      <w:r>
        <w:rPr>
          <w:rStyle w:val="2Char"/>
          <w:rFonts w:ascii="仿宋" w:eastAsia="仿宋" w:hAnsi="仿宋" w:hint="eastAsia"/>
          <w:b w:val="0"/>
          <w:bCs w:val="0"/>
        </w:rPr>
        <w:t>财政拨款“三公”经费支出决算表</w:t>
      </w:r>
      <w:bookmarkEnd w:id="113"/>
    </w:p>
    <w:sectPr>
      <w:headerReference w:type="default" r:id="rId2"/>
      <w:footerReference w:type="default" r:id="rId3"/>
      <w:pgSz w:w="11906" w:h="16838"/>
      <w:pgMar w:top="1440" w:right="1800" w:bottom="1440" w:left="1800" w:header="851" w:footer="992" w:gutter="0"/>
      <w:pgNumType w:start="1"/>
      <w:cols w:num="1" w:space="425"/>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仿宋_GB2312"/>
    <w:panose1 w:val="02000000000000000000"/>
    <w:charset w:val="86"/>
    <w:family w:val="script"/>
    <w:pitch w:val="variable"/>
    <w:sig w:usb0="00000000" w:usb1="00000000" w:usb2="00000012" w:usb3="00000000" w:csb0="00040001" w:csb1="00000000"/>
  </w:font>
  <w:font w:name="宋体">
    <w:altName w:val="方正书宋_GBK"/>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Arial">
    <w:altName w:val="DejaVu Sans"/>
    <w:panose1 w:val="020B0604020202020204"/>
    <w:charset w:val="01"/>
    <w:family w:val="swiss"/>
    <w:pitch w:val="variable"/>
    <w:sig w:usb0="E0002AFF" w:usb1="C0007843" w:usb2="00000009" w:usb3="00000000" w:csb0="400001FF" w:csb1="FFFF0000"/>
  </w:font>
  <w:font w:name="Times New Roman">
    <w:altName w:val="DejaVu Sans"/>
    <w:panose1 w:val="02020603050405020304"/>
    <w:charset w:val="00"/>
    <w:family w:val="roman"/>
    <w:pitch w:val="variable"/>
    <w:sig w:usb0="20007A87" w:usb1="80000000" w:usb2="00000008" w:usb3="00000000" w:csb0="000001FF" w:csb1="00000000"/>
  </w:font>
  <w:font w:name="仿宋">
    <w:panose1 w:val="02010609060101010101"/>
    <w:charset w:val="86"/>
    <w:family w:val="modern"/>
    <w:pitch w:val="variable"/>
    <w:sig w:usb0="800002BF" w:usb1="38CF7CFA"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楷体_GB2312">
    <w:altName w:val="楷体"/>
    <w:panose1 w:val="00000000000000000000"/>
    <w:charset w:val="86"/>
    <w:family w:val="auto"/>
    <w:pitch w:val="variable"/>
    <w:sig w:usb0="00000000" w:usb1="00000000" w:usb2="00000000" w:usb3="00000000" w:csb0="00040000" w:csb1="00000000"/>
  </w:font>
  <w:font w:name="方正仿宋_GBK">
    <w:panose1 w:val="03000509000000000000"/>
    <w:charset w:val="86"/>
    <w:family w:val="script"/>
    <w:pitch w:val="variable"/>
    <w:sig w:usb0="00000001" w:usb1="080E0000" w:usb2="00000000" w:usb3="00000000" w:csb0="00040000" w:csb1="00000000"/>
  </w:font>
  <w:font w:name="方正楷体_GBK">
    <w:panose1 w:val="03000509000000000000"/>
    <w:charset w:val="86"/>
    <w:family w:val="auto"/>
    <w:pitch w:val="variable"/>
    <w:sig w:usb0="00000001" w:usb1="080E0000" w:usb2="00000000" w:usb3="00000000" w:csb0="00040000" w:csb1="00000000"/>
  </w:font>
  <w:font w:name="Calibri">
    <w:altName w:val="DejaVu Sans"/>
    <w:panose1 w:val="020F0502020204030204"/>
    <w:charset w:val="00"/>
    <w:family w:val="swiss"/>
    <w:pitch w:val="variable"/>
    <w:sig w:usb0="E00002FF" w:usb1="4000ACFF" w:usb2="00000001" w:usb3="00000000" w:csb0="2000019F" w:csb1="00000000"/>
  </w:font>
  <w:font w:name="方正公文黑体">
    <w:altName w:val="黑体"/>
    <w:panose1 w:val="02000000000000000000"/>
    <w:charset w:val="86"/>
    <w:family w:val="auto"/>
    <w:pitch w:val="variable"/>
    <w:sig w:usb0="00000000" w:usb1="00000000" w:usb2="00000000" w:usb3="00000000" w:csb0="00040000" w:csb1="00000000"/>
  </w:font>
  <w:font w:name="方正公文楷体">
    <w:altName w:val="楷体"/>
    <w:panose1 w:val="02000000000000000000"/>
    <w:charset w:val="86"/>
    <w:family w:val="auto"/>
    <w:pitch w:val="variable"/>
    <w:sig w:usb0="00000000" w:usb1="00000000" w:usb2="00000000" w:usb3="00000000" w:csb0="00040000" w:csb1="00000000"/>
  </w:font>
  <w:font w:name="Lucida Sans">
    <w:altName w:val="DejaVu Sans"/>
    <w:panose1 w:val="020B0602030504020204"/>
    <w:charset w:val="00"/>
    <w:family w:val="auto"/>
    <w:pitch w:val="variable"/>
    <w:sig w:usb0="00000003" w:usb1="00000000" w:usb2="00000000" w:usb3="00000000" w:csb0="20000001" w:csb1="00000000"/>
  </w:font>
  <w:font w:name="Cambria">
    <w:altName w:val="DejaVu Sans"/>
    <w:panose1 w:val="02040503050406030204"/>
    <w:charset w:val="00"/>
    <w:family w:val="roman"/>
    <w:pitch w:val="variable"/>
    <w:sig w:usb0="E00002FF" w:usb1="400004FF" w:usb2="00000000" w:usb3="00000000" w:csb0="2000019F" w:csb1="00000000"/>
  </w:font>
  <w:font w:name="Helvetica Neue">
    <w:altName w:val="黑体"/>
    <w:panose1 w:val="00000000000000000000"/>
    <w:charset w:val="00"/>
    <w:family w:val="auto"/>
    <w:pitch w:val="variable"/>
    <w:sig w:usb0="00000000" w:usb1="00000000" w:usb2="00000000" w:usb3="00000000" w:csb0="00040001" w:csb1="00000000"/>
  </w:font>
  <w:font w:name="Arial Unicode MS">
    <w:altName w:val="方正书宋_GBK"/>
    <w:panose1 w:val="020B0604020202020204"/>
    <w:charset w:val="86"/>
    <w:family w:val="swiss"/>
    <w:pitch w:val="variable"/>
    <w:sig w:usb0="00000000" w:usb1="00000000" w:usb2="0000003F" w:usb3="00000000" w:csb0="003F01FF" w:csb1="00000000"/>
  </w:font>
  <w:font w:name="??">
    <w:altName w:val="仿宋"/>
    <w:panose1 w:val="00000000000000000000"/>
    <w:charset w:val="00"/>
    <w:family w:val="roman"/>
    <w:pitch w:val="variable"/>
    <w:sig w:usb0="00000000" w:usb1="00000000" w:usb2="00000000" w:usb3="00000000" w:csb0="00000000" w:csb1="00000000"/>
  </w:font>
  <w:font w:name="等线">
    <w:altName w:val="黑体"/>
    <w:panose1 w:val="02010600030101010101"/>
    <w:charset w:val="86"/>
    <w:family w:val="auto"/>
    <w:pitch w:val="variable"/>
    <w:sig w:usb0="00000000" w:usb1="00000000" w:usb2="00000016" w:usb3="00000000" w:csb0="0004000F" w:csb1="00000000"/>
  </w:font>
  <w:font w:name="Courier New">
    <w:altName w:val="DejaVu Sans"/>
    <w:panose1 w:val="02070309020205020404"/>
    <w:charset w:val="01"/>
    <w:family w:val="modern"/>
    <w:pitch w:val="variable"/>
    <w:sig w:usb0="E0002AFF" w:usb1="C0007843" w:usb2="00000009" w:usb3="00000000" w:csb0="400001FF" w:csb1="FFFF0000"/>
  </w:font>
  <w:font w:name="微软雅黑">
    <w:altName w:val="黑体"/>
    <w:panose1 w:val="020B0503020204020204"/>
    <w:charset w:val="86"/>
    <w:family w:val="swiss"/>
    <w:pitch w:val="variable"/>
    <w:sig w:usb0="80000287" w:usb1="280F3C52" w:usb2="00000016" w:usb3="00000000" w:csb0="0004001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637937834"/>
    </w:sdtPr>
    <w:sdtContent>
      <w:p>
        <w:pPr>
          <w:pStyle w:val="21"/>
          <w:tabs>
            <w:tab w:val="center" w:pos="4153"/>
            <w:tab w:val="right" w:pos="8306"/>
          </w:tabs>
          <w:jc w:val="center"/>
        </w:pPr>
        <w:r>
          <w:fldChar w:fldCharType="begin"/>
        </w:r>
        <w:r>
          <w:instrText>PAGE   \* MERGEFORMAT</w:instrText>
        </w:r>
        <w:r>
          <w:fldChar w:fldCharType="separate"/>
        </w:r>
        <w:r>
          <w:rPr>
            <w:lang w:val="zh-CN"/>
          </w:rPr>
          <w:t>17</w:t>
        </w:r>
        <w:r>
          <w:fldChar w:fldCharType="end"/>
        </w:r>
      </w:p>
    </w:sdtContent>
  </w:sdt>
  <w:p>
    <w:pPr>
      <w:pStyle w:val="21"/>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FD16D87"/>
    <w:multiLevelType w:val="multilevel"/>
    <w:tmpl w:val="0FD16D87"/>
    <w:lvl w:ilvl="0">
      <w:start w:val="1"/>
      <w:numFmt w:val="japaneseCounting"/>
      <w:lvlRestart w:val="0"/>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CF652CEC"/>
    <w:multiLevelType w:val="singleLevel"/>
    <w:tmpl w:val="CF652CEC"/>
    <w:lvl w:ilvl="0">
      <w:start w:val="9"/>
      <w:numFmt w:val="chineseCounting"/>
      <w:lvlRestart w:val="0"/>
      <w:suff w:val="nothing"/>
      <w:lvlText w:val="%1、"/>
      <w:lvlJc w:val="left"/>
      <w:pPr/>
      <w:rPr>
        <w:rFonts w:hint="eastAsia"/>
      </w:rPr>
    </w:lvl>
  </w:abstractNum>
  <w:abstractNum w:abstractNumId="3">
    <w:nsid w:val="E2FA047D"/>
    <w:multiLevelType w:val="singleLevel"/>
    <w:tmpl w:val="E2FA047D"/>
    <w:lvl w:ilvl="0">
      <w:start w:val="3"/>
      <w:numFmt w:val="chineseCounting"/>
      <w:lvlRestart w:val="0"/>
      <w:suff w:val="space"/>
      <w:lvlText w:val="第%1部分"/>
      <w:lvlJc w:val="left"/>
      <w:pPr/>
      <w:rPr>
        <w:rFonts w:hint="eastAsia"/>
      </w:rPr>
    </w:lvl>
  </w:abstractNum>
  <w:abstractNum w:abstractNumId="4">
    <w:nsid w:val="FFF674BC"/>
    <w:multiLevelType w:val="singleLevel"/>
    <w:tmpl w:val="FFF674BC"/>
    <w:lvl w:ilvl="0">
      <w:start w:val="1"/>
      <w:numFmt w:val="chineseCounting"/>
      <w:lvlRestart w:val="0"/>
      <w:suff w:val="nothing"/>
      <w:lvlText w:val="%1、"/>
      <w:lvlJc w:val="left"/>
      <w:pPr/>
      <w:rPr>
        <w:rFonts w:hint="eastAsia"/>
      </w:rPr>
    </w:lvl>
  </w:abstractNum>
  <w:abstractNum w:abstractNumId="5">
    <w:nsid w:val="DEBEF323"/>
    <w:multiLevelType w:val="singleLevel"/>
    <w:tmpl w:val="DEBEF323"/>
    <w:lvl w:ilvl="0">
      <w:start w:val="4"/>
      <w:numFmt w:val="chineseCounting"/>
      <w:lvlRestart w:val="0"/>
      <w:suff w:val="nothing"/>
      <w:lvlText w:val="（%1）"/>
      <w:lvlJc w:val="left"/>
      <w:pPr/>
      <w:rPr>
        <w:rFonts w:hint="eastAsia"/>
      </w:rPr>
    </w:lvl>
  </w:abstractNum>
  <w:abstractNum w:abstractNumId="6">
    <w:nsid w:val="2CA513C2"/>
    <w:multiLevelType w:val="singleLevel"/>
    <w:tmpl w:val="2CA513C2"/>
    <w:lvl w:ilvl="0">
      <w:start w:val="3"/>
      <w:numFmt w:val="chineseCounting"/>
      <w:lvlRestart w:val="0"/>
      <w:suff w:val="nothing"/>
      <w:lvlText w:val="（%1）"/>
      <w:lvlJc w:val="left"/>
      <w:pPr/>
      <w:rPr>
        <w:rFonts w:hint="eastAsia"/>
      </w:rPr>
    </w:lvl>
  </w:abstractNum>
  <w:abstractNum w:abstractNumId="7">
    <w:nsid w:val="9FFF11FB"/>
    <w:multiLevelType w:val="multilevel"/>
    <w:tmpl w:val="9FFF11FB"/>
    <w:lvl w:ilvl="0">
      <w:start w:val="2"/>
      <w:numFmt w:val="decimal"/>
      <w:lvlRestart w:val="0"/>
      <w:suff w:val="space"/>
      <w:lvlText w:val="%1."/>
      <w:lvlJc w:val="left"/>
      <w:pPr>
        <w:tabs>
          <w:tab w:val="num" w:pos="0"/>
        </w:tabs>
        <w:ind w:left="0" w:hanging="0"/>
      </w:pPr>
      <w:rPr>
        <w:rFonts w:ascii="Times New Roman" w:hAnsi="Times New Roman" w:cs="Times New Roman" w:hint="default"/>
        <w:caps w:val="0"/>
        <w:smallCaps w:val="0"/>
      </w:rPr>
    </w:lvl>
    <w:lvl w:ilvl="1">
      <w:start w:val="2"/>
      <w:numFmt w:val="decimal"/>
      <w:suff w:val="space"/>
      <w:lvlText w:val="%1."/>
      <w:lvlJc w:val="left"/>
      <w:pPr>
        <w:tabs>
          <w:tab w:val="num" w:pos="0"/>
        </w:tabs>
        <w:ind w:left="0" w:hanging="0"/>
      </w:pPr>
      <w:rPr>
        <w:rFonts w:ascii="Times New Roman" w:hAnsi="Times New Roman" w:cs="Times New Roman" w:hint="default"/>
        <w:caps w:val="0"/>
        <w:smallCaps w:val="0"/>
      </w:rPr>
    </w:lvl>
    <w:lvl w:ilvl="2">
      <w:start w:val="2"/>
      <w:numFmt w:val="decimal"/>
      <w:suff w:val="space"/>
      <w:lvlText w:val="%1."/>
      <w:lvlJc w:val="left"/>
      <w:pPr>
        <w:tabs>
          <w:tab w:val="num" w:pos="0"/>
        </w:tabs>
        <w:ind w:left="0" w:hanging="0"/>
      </w:pPr>
      <w:rPr>
        <w:rFonts w:ascii="Times New Roman" w:hAnsi="Times New Roman" w:cs="Times New Roman" w:hint="default"/>
        <w:caps w:val="0"/>
        <w:smallCaps w:val="0"/>
      </w:rPr>
    </w:lvl>
    <w:lvl w:ilvl="3">
      <w:start w:val="2"/>
      <w:numFmt w:val="decimal"/>
      <w:suff w:val="space"/>
      <w:lvlText w:val="%1."/>
      <w:lvlJc w:val="left"/>
      <w:pPr>
        <w:tabs>
          <w:tab w:val="num" w:pos="0"/>
        </w:tabs>
        <w:ind w:left="0" w:hanging="0"/>
      </w:pPr>
      <w:rPr>
        <w:rFonts w:ascii="Times New Roman" w:hAnsi="Times New Roman" w:cs="Times New Roman" w:hint="default"/>
        <w:caps w:val="0"/>
        <w:smallCaps w:val="0"/>
      </w:rPr>
    </w:lvl>
    <w:lvl w:ilvl="4">
      <w:start w:val="2"/>
      <w:numFmt w:val="decimal"/>
      <w:suff w:val="space"/>
      <w:lvlText w:val="%1."/>
      <w:lvlJc w:val="left"/>
      <w:pPr>
        <w:tabs>
          <w:tab w:val="num" w:pos="0"/>
        </w:tabs>
        <w:ind w:left="0" w:hanging="0"/>
      </w:pPr>
      <w:rPr>
        <w:rFonts w:ascii="Times New Roman" w:hAnsi="Times New Roman" w:cs="Times New Roman" w:hint="default"/>
        <w:caps w:val="0"/>
        <w:smallCaps w:val="0"/>
      </w:rPr>
    </w:lvl>
    <w:lvl w:ilvl="5">
      <w:start w:val="2"/>
      <w:numFmt w:val="decimal"/>
      <w:suff w:val="space"/>
      <w:lvlText w:val="%1."/>
      <w:lvlJc w:val="left"/>
      <w:pPr>
        <w:tabs>
          <w:tab w:val="num" w:pos="0"/>
        </w:tabs>
        <w:ind w:left="0" w:hanging="0"/>
      </w:pPr>
      <w:rPr>
        <w:rFonts w:ascii="Times New Roman" w:hAnsi="Times New Roman" w:cs="Times New Roman" w:hint="default"/>
        <w:caps w:val="0"/>
        <w:smallCaps w:val="0"/>
      </w:rPr>
    </w:lvl>
    <w:lvl w:ilvl="6">
      <w:start w:val="2"/>
      <w:numFmt w:val="decimal"/>
      <w:suff w:val="space"/>
      <w:lvlText w:val="%1."/>
      <w:lvlJc w:val="left"/>
      <w:pPr>
        <w:tabs>
          <w:tab w:val="num" w:pos="0"/>
        </w:tabs>
        <w:ind w:left="0" w:hanging="0"/>
      </w:pPr>
      <w:rPr>
        <w:rFonts w:ascii="Times New Roman" w:hAnsi="Times New Roman" w:cs="Times New Roman" w:hint="default"/>
        <w:caps w:val="0"/>
        <w:smallCaps w:val="0"/>
      </w:rPr>
    </w:lvl>
    <w:lvl w:ilvl="7">
      <w:start w:val="2"/>
      <w:numFmt w:val="decimal"/>
      <w:suff w:val="space"/>
      <w:lvlText w:val="%1."/>
      <w:lvlJc w:val="left"/>
      <w:pPr>
        <w:tabs>
          <w:tab w:val="num" w:pos="0"/>
        </w:tabs>
        <w:ind w:left="0" w:hanging="0"/>
      </w:pPr>
      <w:rPr>
        <w:rFonts w:ascii="Times New Roman" w:hAnsi="Times New Roman" w:cs="Times New Roman" w:hint="default"/>
        <w:caps w:val="0"/>
        <w:smallCaps w:val="0"/>
      </w:rPr>
    </w:lvl>
    <w:lvl w:ilvl="8">
      <w:start w:val="2"/>
      <w:numFmt w:val="decimal"/>
      <w:suff w:val="space"/>
      <w:lvlText w:val="%1."/>
      <w:lvlJc w:val="left"/>
      <w:pPr>
        <w:tabs>
          <w:tab w:val="num" w:pos="0"/>
        </w:tabs>
        <w:ind w:left="0" w:hanging="0"/>
      </w:pPr>
      <w:rPr>
        <w:rFonts w:ascii="Times New Roman" w:hAnsi="Times New Roman" w:cs="Times New Roman" w:hint="default"/>
        <w:caps w:val="0"/>
        <w:smallCaps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customStyle="1" w:styleId="15">
    <w:name w:val="默认"/>
    <w:next w:val="0"/>
    <w:pPr>
      <w:jc w:val="both"/>
    </w:pPr>
    <w:rPr>
      <w:rFonts w:ascii="Helvetica Neue" w:eastAsia="Arial Unicode MS" w:cs="Arial Unicode MS" w:hAnsi="Helvetica Neue"/>
      <w:kern w:val="2"/>
      <w:sz w:val="22"/>
      <w:szCs w:val="22"/>
      <w:lang w:val="en-US" w:eastAsia="zh-CN" w:bidi="ar-SA"/>
    </w:rPr>
  </w:style>
  <w:style w:type="paragraph" w:styleId="16">
    <w:name w:val="index 5"/>
    <w:basedOn w:val="0"/>
    <w:next w:val="0"/>
    <w:pPr>
      <w:ind w:left="1680"/>
    </w:pPr>
  </w:style>
  <w:style w:type="paragraph" w:styleId="17">
    <w:name w:val="Body Text"/>
    <w:basedOn w:val="0"/>
    <w:pPr>
      <w:spacing w:beforeLines="30" w:before="30"/>
    </w:pPr>
    <w:rPr>
      <w:rFonts w:ascii="仿宋_GB2312" w:eastAsia="仿宋_GB2312"/>
      <w:kern w:val="0"/>
      <w:sz w:val="30"/>
    </w:rPr>
  </w:style>
  <w:style w:type="paragraph" w:styleId="18">
    <w:name w:val="Body Text Indent"/>
    <w:basedOn w:val="0"/>
    <w:pPr>
      <w:spacing w:after="120"/>
      <w:ind w:leftChars="200" w:left="200"/>
    </w:pPr>
    <w:rPr>
      <w:rFonts w:ascii="仿宋_GB2312" w:hAnsi="仿宋_GB2312"/>
      <w:szCs w:val="32"/>
    </w:rPr>
  </w:style>
  <w:style w:type="paragraph" w:styleId="19">
    <w:name w:val="toc 3"/>
    <w:basedOn w:val="0"/>
    <w:next w:val="0"/>
    <w:pPr>
      <w:tabs>
        <w:tab w:val="right" w:leader="dot" w:pos="8296"/>
      </w:tabs>
      <w:ind w:leftChars="400" w:left="400"/>
    </w:pPr>
  </w:style>
  <w:style w:type="paragraph" w:styleId="20">
    <w:name w:val="Balloon Text"/>
    <w:basedOn w:val="0"/>
    <w:rPr>
      <w:sz w:val="18"/>
      <w:szCs w:val="18"/>
    </w:rPr>
  </w:style>
  <w:style w:type="paragraph" w:styleId="21">
    <w:name w:val="footer"/>
    <w:basedOn w:val="0"/>
    <w:pPr>
      <w:tabs>
        <w:tab w:val="center" w:pos="4153"/>
        <w:tab w:val="right" w:pos="8306"/>
      </w:tabs>
      <w:snapToGrid w:val="0"/>
      <w:jc w:val="left"/>
    </w:pPr>
    <w:rPr>
      <w:rFonts w:ascii="Calibri" w:hAnsi="Calibri"/>
      <w:kern w:val="0"/>
      <w:sz w:val="18"/>
      <w:szCs w:val="18"/>
    </w:rPr>
  </w:style>
  <w:style w:type="paragraph" w:styleId="22">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3">
    <w:name w:val="toc 1"/>
    <w:basedOn w:val="0"/>
    <w:next w:val="0"/>
    <w:pPr>
      <w:tabs>
        <w:tab w:val="right" w:leader="dot" w:pos="8296"/>
      </w:tabs>
      <w:spacing w:before="93"/>
      <w:jc w:val="center"/>
    </w:pPr>
    <w:rPr>
      <w:rFonts w:ascii="仿宋" w:eastAsia="仿宋" w:hAnsi="仿宋"/>
      <w:sz w:val="28"/>
      <w:szCs w:val="28"/>
    </w:rPr>
  </w:style>
  <w:style w:type="paragraph" w:styleId="24">
    <w:name w:val="toc 2"/>
    <w:basedOn w:val="0"/>
    <w:next w:val="0"/>
    <w:pPr>
      <w:tabs>
        <w:tab w:val="right" w:leader="dot" w:pos="8296"/>
      </w:tabs>
      <w:ind w:leftChars="200" w:left="200"/>
    </w:pPr>
  </w:style>
  <w:style w:type="paragraph" w:styleId="25">
    <w:name w:val="Normal (Web)"/>
    <w:next w:val="21"/>
    <w:pPr>
      <w:widowControl w:val="0"/>
      <w:spacing w:before="100" w:beforeAutospacing="1" w:after="100" w:afterAutospacing="1"/>
      <w:ind w:left="0" w:right="0"/>
      <w:jc w:val="left"/>
    </w:pPr>
    <w:rPr>
      <w:rFonts w:ascii="Times New Roman" w:eastAsia="仿宋_GB2312" w:cs="Times New Roman" w:hAnsi="Times New Roman"/>
      <w:kern w:val="0"/>
      <w:sz w:val="24"/>
      <w:szCs w:val="24"/>
      <w:lang w:val="en-US" w:eastAsia="zh-CN" w:bidi="ar-SA"/>
    </w:rPr>
  </w:style>
  <w:style w:type="paragraph" w:styleId="26">
    <w:name w:val="Body Text First Indent 2"/>
    <w:basedOn w:val="18"/>
    <w:pPr>
      <w:ind w:firstLineChars="200" w:firstLine="200"/>
    </w:pPr>
  </w:style>
  <w:style w:type="character" w:styleId="27">
    <w:name w:val="Strong"/>
    <w:basedOn w:val="10"/>
    <w:rPr>
      <w:b/>
    </w:rPr>
  </w:style>
  <w:style w:type="character" w:styleId="28">
    <w:name w:val="FollowedHyperlink"/>
    <w:basedOn w:val="10"/>
    <w:rPr>
      <w:color w:val="954F72"/>
      <w:u w:val="single"/>
    </w:rPr>
  </w:style>
  <w:style w:type="character" w:styleId="29">
    <w:name w:val="Hyperlink"/>
    <w:basedOn w:val="10"/>
    <w:rPr>
      <w:color w:val="0000FF"/>
      <w:u w:val="single"/>
    </w:rPr>
  </w:style>
  <w:style w:type="paragraph" w:customStyle="1" w:styleId="30">
    <w:name w:val="标题 5（有编号）（绿盟科技）"/>
    <w:next w:val="0"/>
    <w:pPr>
      <w:keepNext/>
      <w:keepLines/>
      <w:widowControl w:val="0"/>
      <w:spacing w:before="280" w:after="156" w:line="377" w:lineRule="auto"/>
      <w:outlineLvl w:val="4"/>
    </w:pPr>
    <w:rPr>
      <w:rFonts w:ascii="Arial" w:eastAsia="黑体" w:cs="Times New Roman" w:hAnsi="Arial"/>
      <w:b/>
      <w:kern w:val="2"/>
      <w:sz w:val="24"/>
      <w:szCs w:val="28"/>
      <w:lang w:val="en-US" w:eastAsia="zh-CN" w:bidi="ar-SA"/>
    </w:rPr>
  </w:style>
  <w:style w:type="character" w:customStyle="1" w:styleId="31">
    <w:name w:val="Header Char"/>
    <w:basedOn w:val="10"/>
    <w:rPr>
      <w:rFonts w:ascii="Times New Roman" w:hAnsi="Times New Roman"/>
      <w:sz w:val="18"/>
      <w:szCs w:val="18"/>
    </w:rPr>
  </w:style>
  <w:style w:type="character" w:customStyle="1" w:styleId="32">
    <w:name w:val="Footer Char"/>
    <w:basedOn w:val="10"/>
    <w:rPr>
      <w:rFonts w:ascii="Times New Roman" w:hAnsi="Times New Roman"/>
      <w:sz w:val="18"/>
      <w:szCs w:val="18"/>
    </w:rPr>
  </w:style>
  <w:style w:type="character" w:customStyle="1" w:styleId="33">
    <w:name w:val="Body Text Char"/>
    <w:basedOn w:val="10"/>
    <w:rPr>
      <w:rFonts w:ascii="Times New Roman" w:hAnsi="Times New Roman"/>
      <w:szCs w:val="24"/>
    </w:rPr>
  </w:style>
  <w:style w:type="paragraph" w:customStyle="1" w:styleId="34">
    <w:name w:val="Default"/>
    <w:next w:val="16"/>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35">
    <w:name w:val="List Paragraph"/>
    <w:basedOn w:val="0"/>
    <w:pPr>
      <w:ind w:firstLineChars="200" w:firstLine="200"/>
    </w:pPr>
  </w:style>
  <w:style w:type="paragraph" w:customStyle="1" w:styleId="36">
    <w:name w:val="TOC 标题1"/>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7">
    <w:name w:val="TOC 标题2"/>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8">
    <w:name w:val="四号正文"/>
    <w:basedOn w:val="0"/>
    <w:pPr>
      <w:spacing w:line="360" w:lineRule="auto"/>
    </w:pPr>
    <w:rPr>
      <w:rFonts w:ascii="??" w:hAnsi="??"/>
      <w:color w:val="000000"/>
      <w:kern w:val="0"/>
      <w:sz w:val="28"/>
      <w:szCs w:val="21"/>
      <w:lang w:val="zh-CN"/>
    </w:rPr>
  </w:style>
  <w:style w:type="paragraph" w:customStyle="1" w:styleId="39">
    <w:name w:val="TOC Heading"/>
    <w:basedOn w:val="1"/>
    <w:next w:val="0"/>
    <w:pPr>
      <w:keepNext/>
      <w:keepLines/>
      <w:widowControl/>
      <w:spacing w:before="240" w:after="0" w:line="259" w:lineRule="auto"/>
      <w:jc w:val="left"/>
      <w:outlineLvl w:val="9"/>
    </w:pPr>
    <w:rPr>
      <w:rFonts w:ascii="Cambria" w:eastAsia="宋体" w:cs="Times New Roman" w:hAnsi="Cambria"/>
      <w:b w:val="0"/>
      <w:bCs w:val="0"/>
      <w:color w:val="376092"/>
      <w:kern w:val="0"/>
      <w:sz w:val="32"/>
      <w:szCs w:val="32"/>
    </w:rPr>
  </w:style>
  <w:style w:type="paragraph" w:customStyle="1" w:styleId="40">
    <w:name w:val="msonormal"/>
    <w:basedOn w:val="0"/>
    <w:pPr>
      <w:widowControl/>
      <w:spacing w:before="100" w:beforeAutospacing="1" w:after="100" w:afterAutospacing="1"/>
      <w:jc w:val="left"/>
    </w:pPr>
    <w:rPr>
      <w:rFonts w:ascii="宋体" w:cs="宋体" w:hAnsi="宋体"/>
      <w:kern w:val="0"/>
      <w:sz w:val="24"/>
    </w:rPr>
  </w:style>
  <w:style w:type="paragraph" w:customStyle="1" w:styleId="41">
    <w:name w:val="font5"/>
    <w:basedOn w:val="0"/>
    <w:pPr>
      <w:widowControl/>
      <w:spacing w:before="100" w:beforeAutospacing="1" w:after="100" w:afterAutospacing="1"/>
      <w:jc w:val="left"/>
    </w:pPr>
    <w:rPr>
      <w:rFonts w:ascii="等线" w:eastAsia="等线" w:cs="宋体" w:hAnsi="等线"/>
      <w:kern w:val="0"/>
      <w:sz w:val="18"/>
      <w:szCs w:val="18"/>
    </w:rPr>
  </w:style>
  <w:style w:type="paragraph" w:customStyle="1" w:styleId="42">
    <w:name w:val="xl63"/>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cs="宋体" w:hAnsi="宋体"/>
      <w:color w:val="000000"/>
      <w:kern w:val="0"/>
      <w:sz w:val="18"/>
      <w:szCs w:val="18"/>
    </w:rPr>
  </w:style>
  <w:style w:type="paragraph" w:customStyle="1" w:styleId="43">
    <w:name w:val="xl64"/>
    <w:basedOn w:val="0"/>
    <w:pPr>
      <w:widowControl/>
      <w:spacing w:before="100" w:beforeAutospacing="1" w:after="100" w:afterAutospacing="1"/>
      <w:jc w:val="left"/>
    </w:pPr>
    <w:rPr>
      <w:rFonts w:ascii="Courier New" w:cs="Courier New" w:hAnsi="Courier New"/>
      <w:color w:val="000000"/>
      <w:kern w:val="0"/>
      <w:sz w:val="18"/>
      <w:szCs w:val="18"/>
    </w:rPr>
  </w:style>
  <w:style w:type="paragraph" w:customStyle="1" w:styleId="44">
    <w:name w:val="xl65"/>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cs="宋体" w:hAnsi="宋体"/>
      <w:color w:val="000000"/>
      <w:kern w:val="0"/>
      <w:sz w:val="18"/>
      <w:szCs w:val="18"/>
    </w:rPr>
  </w:style>
  <w:style w:type="paragraph" w:customStyle="1" w:styleId="45">
    <w:name w:val="xl66"/>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cs="宋体" w:hAnsi="宋体"/>
      <w:color w:val="000000"/>
      <w:kern w:val="0"/>
      <w:sz w:val="18"/>
      <w:szCs w:val="18"/>
    </w:rPr>
  </w:style>
  <w:style w:type="paragraph" w:customStyle="1" w:styleId="46">
    <w:name w:val="xl67"/>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cs="宋体" w:hAnsi="宋体"/>
      <w:color w:val="000000"/>
      <w:kern w:val="0"/>
      <w:sz w:val="18"/>
      <w:szCs w:val="18"/>
    </w:rPr>
  </w:style>
  <w:style w:type="paragraph" w:customStyle="1" w:styleId="47">
    <w:name w:val="xl68"/>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cs="宋体" w:hAnsi="微软雅黑"/>
      <w:i/>
      <w:iCs/>
      <w:color w:val="000000"/>
      <w:kern w:val="0"/>
      <w:sz w:val="16"/>
      <w:szCs w:val="16"/>
    </w:rPr>
  </w:style>
  <w:style w:type="paragraph" w:customStyle="1" w:styleId="48">
    <w:name w:val="xl69"/>
    <w:basedOn w:val="0"/>
    <w:pPr>
      <w:widowControl/>
      <w:spacing w:before="100" w:beforeAutospacing="1" w:after="100" w:afterAutospacing="1"/>
      <w:jc w:val="left"/>
    </w:pPr>
    <w:rPr>
      <w:rFonts w:ascii="宋体" w:cs="宋体" w:hAnsi="宋体"/>
      <w:kern w:val="0"/>
      <w:sz w:val="18"/>
      <w:szCs w:val="18"/>
    </w:rPr>
  </w:style>
  <w:style w:type="paragraph" w:customStyle="1" w:styleId="49">
    <w:name w:val="xl70"/>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黑体" w:eastAsia="黑体" w:cs="宋体" w:hAnsi="黑体"/>
      <w:b/>
      <w:bCs/>
      <w:color w:val="000000"/>
      <w:kern w:val="0"/>
      <w:sz w:val="30"/>
      <w:szCs w:val="30"/>
    </w:rPr>
  </w:style>
  <w:style w:type="paragraph" w:customStyle="1" w:styleId="50">
    <w:name w:val="xl71"/>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cs="Courier New" w:hAnsi="Courier New"/>
      <w:color w:val="000000"/>
      <w:kern w:val="0"/>
      <w:sz w:val="18"/>
      <w:szCs w:val="18"/>
    </w:rPr>
  </w:style>
  <w:style w:type="paragraph" w:customStyle="1" w:styleId="51">
    <w:name w:val="xl72"/>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cs="Courier New" w:hAnsi="Courier New"/>
      <w:color w:val="000000"/>
      <w:kern w:val="0"/>
      <w:sz w:val="18"/>
      <w:szCs w:val="18"/>
    </w:rPr>
  </w:style>
  <w:style w:type="paragraph" w:customStyle="1" w:styleId="52">
    <w:name w:val="xl73"/>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cs="Courier New" w:hAnsi="Courier New"/>
      <w:i/>
      <w:iCs/>
      <w:color w:val="000000"/>
      <w:kern w:val="0"/>
      <w:sz w:val="18"/>
      <w:szCs w:val="18"/>
    </w:rPr>
  </w:style>
  <w:style w:type="paragraph" w:customStyle="1" w:styleId="53">
    <w:name w:val="xl74"/>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cs="宋体" w:hAnsi="微软雅黑"/>
      <w:i/>
      <w:iCs/>
      <w:color w:val="000000"/>
      <w:kern w:val="0"/>
      <w:sz w:val="16"/>
      <w:szCs w:val="16"/>
    </w:rPr>
  </w:style>
  <w:style w:type="character" w:customStyle="1" w:styleId="54">
    <w:name w:val="16"/>
    <w:basedOn w:val="10"/>
    <w:rPr>
      <w:rFonts w:ascii="Calibri" w:hAnsi="Calibri"/>
      <w:b/>
      <w:bCs/>
    </w:rPr>
  </w:style>
  <w:style w:type="paragraph" w:customStyle="1" w:styleId="55">
    <w:name w:val="WPSOffice手动目录 1"/>
    <w:rPr>
      <w:rFonts w:ascii="Times New Roman" w:eastAsia="宋体" w:cs="Times New Roman" w:hAnsi="Times New Roman"/>
      <w:sz w:val="20"/>
      <w:szCs w:val="20"/>
      <w:lang w:val="en-US" w:eastAsia="zh-CN" w:bidi="ar-SA"/>
    </w:rPr>
  </w:style>
  <w:style w:type="paragraph" w:customStyle="1" w:styleId="56">
    <w:name w:val="WPSOffice手动目录 2"/>
    <w:pPr>
      <w:ind w:leftChars="200" w:left="200"/>
    </w:pPr>
    <w:rPr>
      <w:rFonts w:ascii="Times New Roman" w:eastAsia="宋体" w:cs="Times New Roman" w:hAnsi="Times New Roman"/>
      <w:sz w:val="20"/>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hart" Target="charts/chart1.xml"/><Relationship Id="rId5" Type="http://schemas.openxmlformats.org/officeDocument/2006/relationships/chart" Target="charts/chart2.xml"/><Relationship Id="rId6" Type="http://schemas.openxmlformats.org/officeDocument/2006/relationships/chart" Target="charts/chart3.xml"/><Relationship Id="rId7" Type="http://schemas.openxmlformats.org/officeDocument/2006/relationships/chart" Target="charts/chart4.xml"/><Relationship Id="rId8" Type="http://schemas.openxmlformats.org/officeDocument/2006/relationships/chart" Target="charts/chart5.xml"/><Relationship Id="rId9" Type="http://schemas.openxmlformats.org/officeDocument/2006/relationships/chart" Target="charts/chart6.xml"/><Relationship Id="rId10" Type="http://schemas.openxmlformats.org/officeDocument/2006/relationships/chart" Target="charts/chart7.xml"/><Relationship Id="rId11" Type="http://schemas.openxmlformats.org/officeDocument/2006/relationships/styles" Target="styl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方正兰亭黑_GBK"/>
                <a:ea typeface="方正兰亭黑_GBK"/>
                <a:cs typeface="Lucida Sans"/>
              </a:defRPr>
            </a:pPr>
            <a:r>
              <a:rPr lang="zh-CN"/>
              <a:t>收、支决算总计变动情况图</a:t>
            </a:r>
          </a:p>
        </c:rich>
      </c:tx>
      <c:layout/>
      <c:overlay val="0"/>
      <c:spPr>
        <a:noFill/>
        <a:ln>
          <a:noFill/>
        </a:ln>
      </c:spPr>
    </c:title>
    <c:autoTitleDeleted val="1"/>
    <c:plotArea>
      <c:layout/>
      <c:barChart>
        <c:barDir val="col"/>
        <c:grouping val="clustered"/>
        <c:varyColors val="0"/>
        <c:ser>
          <c:idx val="0"/>
          <c:order val="0"/>
          <c:tx>
            <c:strRef>
              <c:f>'Sheet1'!$B$1</c:f>
              <c:strCache>
                <c:ptCount val="1"/>
                <c:pt idx="0">
                  <c:v/>
                </c:pt>
              </c:strCache>
            </c:strRef>
          </c:tx>
          <c:spPr>
            <a:solidFill>
              <a:srgbClr val="4F81BD"/>
            </a:solidFill>
            <a:ln>
              <a:noFill/>
            </a:ln>
          </c:spPr>
          <c:invertIfNegative val="0"/>
          <c:dLbls>
            <c:spPr>
              <a:noFill/>
              <a:ln>
                <a:noFill/>
              </a:ln>
            </c:spPr>
            <c:txPr>
              <a:bodyPr vert="horz"/>
              <a:lstStyle/>
              <a:p>
                <a:pPr>
                  <a:defRPr sz="900" b="0" i="0" u="none" strike="noStrike" baseline="0">
                    <a:solidFill>
                      <a:srgbClr val="404040"/>
                    </a:solidFill>
                    <a:latin typeface="方正兰亭黑_GBK"/>
                    <a:ea typeface="方正兰亭黑_GBK"/>
                    <a:cs typeface="Lucida Sans"/>
                  </a:defRPr>
                </a:pPr>
                <a:endParaRPr lang="zh-CN"/>
              </a:p>
            </c:txPr>
            <c:numFmt formatCode="General" sourceLinked="1"/>
            <c:dLbl>
              <c:idx val="0"/>
              <c:spPr>
                <a:noFill/>
                <a:ln>
                  <a:noFill/>
                </a:ln>
              </c:spPr>
              <c:txPr>
                <a:bodyPr vert="horz"/>
                <a:lstStyle/>
                <a:p>
                  <a:pPr>
                    <a:defRPr sz="900" b="0" i="0" u="none" strike="noStrike" baseline="0">
                      <a:solidFill>
                        <a:srgbClr val="404040"/>
                      </a:solidFill>
                      <a:latin typeface="方正兰亭黑_GBK"/>
                      <a:ea typeface="方正兰亭黑_GBK"/>
                      <a:cs typeface="Lucida Sans"/>
                    </a:defRPr>
                  </a:pPr>
                  <a:endParaRPr lang="zh-CN"/>
                </a:p>
              </c:txPr>
              <c:dLblPos val="outEnd"/>
              <c:tx>
                <c:rich>
                  <a:bodyPr vert="horz"/>
                  <a:lstStyle/>
                  <a:p>
                    <a:pPr>
                      <a:defRPr sz="900" b="0" i="0" u="none" strike="noStrike" baseline="0">
                        <a:solidFill>
                          <a:srgbClr val="404040"/>
                        </a:solidFill>
                        <a:latin typeface="方正兰亭黑_GBK"/>
                        <a:ea typeface="方正兰亭黑_GBK"/>
                        <a:cs typeface="Lucida Sans"/>
                      </a:defRPr>
                    </a:pPr>
                    <a:r>
                      <a:rPr lang="zh-CN"/>
                      <a:t>583.69</a:t>
                    </a:r>
                  </a:p>
                </c:rich>
              </c:tx>
              <c:showLegendKey val="0"/>
              <c:showVal val="1"/>
              <c:showCatName val="0"/>
              <c:showSerName val="0"/>
              <c:showPercent val="0"/>
              <c:showBubbleSize val="0"/>
            </c:dLbl>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'Sheet1'!$A$2:$A$3</c:f>
              <c:strCache>
                <c:ptCount val="2"/>
                <c:pt idx="0">
                  <c:v>2022年</c:v>
                </c:pt>
                <c:pt idx="1">
                  <c:v>2021年</c:v>
                </c:pt>
              </c:strCache>
            </c:strRef>
          </c:cat>
          <c:val>
            <c:numRef>
              <c:f>'Sheet1'!$B$2:$B$3</c:f>
              <c:numCache>
                <c:formatCode>General</c:formatCode>
                <c:ptCount val="2"/>
                <c:pt idx="0">
                  <c:v>583.69</c:v>
                </c:pt>
                <c:pt idx="1">
                  <c:v>612.6</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方正兰亭黑_GBK"/>
                <a:ea typeface="方正兰亭黑_GBK"/>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方正兰亭黑_GBK"/>
                <a:ea typeface="方正兰亭黑_GBK"/>
                <a:cs typeface="Lucida Sans"/>
              </a:defRPr>
            </a:pPr>
            <a:endParaRPr lang="zh-CN"/>
          </a:p>
        </c:txPr>
        <c:crossesAt val="1.0"/>
        <c:crossBetween val="between"/>
        <c:crossAx val="0"/>
      </c:valAx>
      <c:spPr>
        <a:noFill/>
        <a:ln>
          <a:noFill/>
        </a:ln>
      </c:spPr>
    </c:plotArea>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tx>
            <c:strRef>
              <c:f>'Sheet1 (2)'!$B$1</c:f>
              <c:strCache>
                <c:ptCount val="1"/>
                <c:pt idx="0">
                  <c:v>收入决算结构图</c:v>
                </c:pt>
              </c:strCache>
            </c:strRef>
          </c:tx>
          <c:spPr>
            <a:solidFill>
              <a:srgbClr val="4F81BD"/>
            </a:solidFill>
            <a:ln>
              <a:noFill/>
            </a:ln>
          </c:spPr>
          <c:dPt>
            <c:idx val="0"/>
            <c:bubble3D val="0"/>
            <c:spPr>
              <a:solidFill>
                <a:srgbClr val="4F81BD"/>
              </a:solidFill>
              <a:ln w="19050">
                <a:solidFill>
                  <a:srgbClr val="FFFFFF"/>
                </a:solidFill>
                <a:prstDash val="solid"/>
              </a:ln>
            </c:spPr>
          </c:dPt>
          <c:dLbls>
            <c:spPr>
              <a:noFill/>
              <a:ln>
                <a:noFill/>
              </a:ln>
            </c:spPr>
            <c:txPr>
              <a:bodyPr vert="horz"/>
              <a:lstStyle/>
              <a:p>
                <a:pPr>
                  <a:defRPr sz="900" b="0" i="0" u="none" strike="noStrike" baseline="0">
                    <a:solidFill>
                      <a:srgbClr val="404040"/>
                    </a:solidFill>
                    <a:latin typeface="方正兰亭黑_GBK"/>
                    <a:ea typeface="方正兰亭黑_GBK"/>
                    <a:cs typeface="Lucida Sans"/>
                  </a:defRPr>
                </a:pPr>
                <a:endParaRPr lang="zh-CN"/>
              </a:p>
            </c:txPr>
            <c:numFmt formatCode="General" sourceLinked="1"/>
            <c:dLbl>
              <c:idx val="0"/>
              <c:layout>
                <c:manualLayout>
                  <c:x val="-0.08250083"/>
                  <c:y val="-0.43397254"/>
                </c:manualLayout>
              </c:layout>
              <c:spPr>
                <a:noFill/>
                <a:ln>
                  <a:noFill/>
                </a:ln>
              </c:spPr>
              <c:txPr>
                <a:bodyPr vert="horz"/>
                <a:lstStyle/>
                <a:p>
                  <a:pPr>
                    <a:defRPr sz="900" b="0" i="0" u="none" strike="noStrike" baseline="0">
                      <a:solidFill>
                        <a:srgbClr val="404040"/>
                      </a:solidFill>
                      <a:latin typeface="方正兰亭黑_GBK"/>
                      <a:ea typeface="方正兰亭黑_GBK"/>
                      <a:cs typeface="Lucida Sans"/>
                    </a:defRPr>
                  </a:pPr>
                  <a:endParaRPr lang="zh-CN"/>
                </a:p>
              </c:txPr>
              <c:tx>
                <c:rich>
                  <a:bodyPr vert="horz"/>
                  <a:lstStyle/>
                  <a:p>
                    <a:pPr>
                      <a:defRPr sz="900" b="0" i="0" u="none" strike="noStrike" baseline="0">
                        <a:solidFill>
                          <a:srgbClr val="404040"/>
                        </a:solidFill>
                        <a:latin typeface="方正兰亭黑_GBK"/>
                        <a:ea typeface="方正兰亭黑_GBK"/>
                        <a:cs typeface="Lucida Sans"/>
                      </a:defRPr>
                    </a:pPr>
                    <a:r>
                      <a:rPr lang="zh-CN" sz="900" b="0" i="0" u="none" strike="noStrike" baseline="0">
                        <a:solidFill>
                          <a:srgbClr val="404040"/>
                        </a:solidFill>
                        <a:latin typeface="方正兰亭黑_GBK"/>
                        <a:ea typeface="方正兰亭黑_GBK"/>
                        <a:cs typeface="Lucida Sans"/>
                      </a:rPr>
                      <a:t>一般公共预算财政拨款收入</a:t>
                    </a:r>
                    <a:r>
                      <a:rPr lang="zh-CN" sz="900" b="0" i="0" u="none" strike="noStrike" baseline="0">
                        <a:solidFill>
                          <a:srgbClr val="404040"/>
                        </a:solidFill>
                        <a:latin typeface="方正兰亭黑_GBK"/>
                        <a:ea typeface="方正兰亭黑_GBK"/>
                        <a:cs typeface="Lucida Sans"/>
                      </a:rPr>
                      <a:t>562.80</a:t>
                    </a:r>
                    <a:r>
                      <a:rPr lang="zh-CN" sz="900" b="0" i="0" u="none" strike="noStrike" baseline="0">
                        <a:solidFill>
                          <a:srgbClr val="404040"/>
                        </a:solidFill>
                        <a:latin typeface="方正兰亭黑_GBK"/>
                        <a:ea typeface="方正兰亭黑_GBK"/>
                        <a:cs typeface="Lucida Sans"/>
                      </a:rPr>
                      <a:t>万元，占本年收入</a:t>
                    </a:r>
                    <a:r>
                      <a:rPr lang="zh-CN" sz="900" b="0" i="0" u="none" strike="noStrike" baseline="0">
                        <a:solidFill>
                          <a:srgbClr val="404040"/>
                        </a:solidFill>
                        <a:latin typeface="方正兰亭黑_GBK"/>
                        <a:ea typeface="方正兰亭黑_GBK"/>
                        <a:cs typeface="Lucida Sans"/>
                      </a:rPr>
                      <a:t>100%</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'Sheet1 (2)'!$A$2</c:f>
              <c:strCache>
                <c:ptCount val="1"/>
                <c:pt idx="0">
                  <c:v>一般公共预算财政拨款收入</c:v>
                </c:pt>
              </c:strCache>
            </c:strRef>
          </c:cat>
          <c:val>
            <c:numRef>
              <c:f>Sheet1 (2)!$B$2</c:f>
              <c:numCache>
                <c:formatCode>General</c:formatCode>
                <c:ptCount val="1"/>
                <c:pt idx="0">
                  <c:v>562.8</c:v>
                </c:pt>
              </c:numCache>
            </c:numRef>
          </c:val>
        </c:ser>
        <c:firstSliceAng val="0"/>
      </c:pieChart>
      <c:spPr>
        <a:noFill/>
        <a:ln>
          <a:noFill/>
        </a:ln>
      </c:spPr>
    </c:plotArea>
    <c:legend>
      <c:legendPos val="b"/>
      <c:layout>
        <c:manualLayout>
          <c:xMode val="edge"/>
          <c:yMode val="edge"/>
          <c:x val="0.219125"/>
          <c:y val="0.8684982"/>
          <c:w val="0.676875"/>
          <c:h val="0.12687144"/>
        </c:manualLayout>
      </c:layout>
      <c:overlay val="0"/>
      <c:spPr>
        <a:noFill/>
        <a:ln>
          <a:noFill/>
        </a:ln>
      </c:spPr>
      <c:txPr>
        <a:bodyPr/>
        <a:lstStyle/>
        <a:p>
          <a:pPr>
            <a:defRPr sz="900" b="0" i="0" u="none" strike="noStrike" baseline="0">
              <a:solidFill>
                <a:srgbClr val="595959"/>
              </a:solidFill>
              <a:latin typeface="方正兰亭黑_GBK"/>
              <a:ea typeface="方正兰亭黑_GBK"/>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方正兰亭黑_GBK"/>
                <a:ea typeface="方正兰亭黑_GBK"/>
                <a:cs typeface="Lucida Sans"/>
              </a:defRPr>
            </a:pPr>
            <a:r>
              <a:rPr lang="zh-CN"/>
              <a:t>支出决算结构图</a:t>
            </a:r>
          </a:p>
        </c:rich>
      </c:tx>
      <c:layout/>
      <c:overlay val="0"/>
      <c:spPr>
        <a:noFill/>
        <a:ln>
          <a:noFill/>
        </a:ln>
      </c:spPr>
    </c:title>
    <c:autoTitleDeleted val="1"/>
    <c:plotArea>
      <c:layout/>
      <c:pieChart>
        <c:varyColors val="1"/>
        <c:ser>
          <c:idx val="0"/>
          <c:order val="0"/>
          <c:tx>
            <c:strRef>
              <c:f>'Sheet1 (3)'!$B$1</c:f>
              <c:strCache>
                <c:ptCount val="1"/>
                <c:pt idx="0">
                  <c:v>销售额</c:v>
                </c:pt>
              </c:strCache>
            </c:strRef>
          </c:tx>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Lbls>
            <c:spPr>
              <a:noFill/>
              <a:ln>
                <a:noFill/>
              </a:ln>
            </c:spPr>
            <c:txPr>
              <a:bodyPr vert="horz"/>
              <a:lstStyle/>
              <a:p>
                <a:pPr>
                  <a:defRPr sz="900" b="0" i="0" u="none" strike="noStrike" baseline="0">
                    <a:solidFill>
                      <a:srgbClr val="404040"/>
                    </a:solidFill>
                    <a:latin typeface="方正兰亭黑_GBK"/>
                    <a:ea typeface="方正兰亭黑_GBK"/>
                    <a:cs typeface="Lucida Sans"/>
                  </a:defRPr>
                </a:pPr>
                <a:endParaRPr lang="zh-CN"/>
              </a:p>
            </c:txPr>
            <c:numFmt formatCode="0.00%" sourceLinked="0"/>
            <c:dLbl>
              <c:idx val="0"/>
              <c:layout>
                <c:manualLayout>
                  <c:x val="0.073782325"/>
                  <c:y val="-0.36811492"/>
                </c:manualLayout>
              </c:layout>
              <c:numFmt formatCode="0.00%" sourceLinked="0"/>
              <c:spPr>
                <a:noFill/>
                <a:ln>
                  <a:noFill/>
                </a:ln>
              </c:spPr>
              <c:txPr>
                <a:bodyPr vert="horz"/>
                <a:lstStyle/>
                <a:p>
                  <a:pPr>
                    <a:defRPr sz="900" b="0" i="0" u="none" strike="noStrike" baseline="0">
                      <a:solidFill>
                        <a:srgbClr val="404040"/>
                      </a:solidFill>
                      <a:latin typeface="方正兰亭黑_GBK"/>
                      <a:ea typeface="方正兰亭黑_GBK"/>
                      <a:cs typeface="Lucida Sans"/>
                    </a:defRPr>
                  </a:pPr>
                  <a:endParaRPr lang="zh-CN"/>
                </a:p>
              </c:txPr>
              <c:tx>
                <c:rich>
                  <a:bodyPr vert="horz"/>
                  <a:lstStyle/>
                  <a:p>
                    <a:pPr>
                      <a:defRPr sz="900" b="0" i="0" u="none" strike="noStrike" baseline="0">
                        <a:solidFill>
                          <a:srgbClr val="404040"/>
                        </a:solidFill>
                        <a:latin typeface="方正兰亭黑_GBK"/>
                        <a:ea typeface="方正兰亭黑_GBK"/>
                        <a:cs typeface="Lucida Sans"/>
                      </a:defRPr>
                    </a:pPr>
                    <a:r>
                      <a:rPr lang="zh-CN" sz="900" b="0" i="0" u="none" strike="noStrike" baseline="0">
                        <a:solidFill>
                          <a:srgbClr val="404040"/>
                        </a:solidFill>
                        <a:latin typeface="方正兰亭黑_GBK"/>
                        <a:ea typeface="方正兰亭黑_GBK"/>
                        <a:cs typeface="Lucida Sans"/>
                      </a:rPr>
                      <a:t>基本支出</a:t>
                    </a:r>
                    <a:r>
                      <a:rPr lang="zh-CN" sz="900" b="0" i="0" u="none" strike="noStrike" baseline="0">
                        <a:solidFill>
                          <a:srgbClr val="404040"/>
                        </a:solidFill>
                        <a:latin typeface="方正兰亭黑_GBK"/>
                        <a:ea typeface="方正兰亭黑_GBK"/>
                        <a:cs typeface="Lucida Sans"/>
                      </a:rPr>
                      <a:t>96.57%</a:t>
                    </a:r>
                  </a:p>
                </c:rich>
              </c:tx>
              <c:showLegendKey val="0"/>
              <c:showVal val="1"/>
              <c:showCatName val="0"/>
              <c:showSerName val="0"/>
              <c:showPercent val="0"/>
              <c:showBubbleSize val="0"/>
            </c:dLbl>
            <c:dLbl>
              <c:idx val="1"/>
              <c:layout>
                <c:manualLayout>
                  <c:x val="0.02546407"/>
                  <c:y val="0.14105129"/>
                </c:manualLayout>
              </c:layout>
              <c:numFmt formatCode="0.00%" sourceLinked="0"/>
              <c:spPr>
                <a:noFill/>
                <a:ln>
                  <a:noFill/>
                </a:ln>
              </c:spPr>
              <c:txPr>
                <a:bodyPr vert="horz"/>
                <a:lstStyle/>
                <a:p>
                  <a:pPr>
                    <a:defRPr sz="900" b="0" i="0" u="none" strike="noStrike" baseline="0">
                      <a:solidFill>
                        <a:srgbClr val="404040"/>
                      </a:solidFill>
                      <a:latin typeface="方正兰亭黑_GBK"/>
                      <a:ea typeface="方正兰亭黑_GBK"/>
                      <a:cs typeface="Lucida Sans"/>
                    </a:defRPr>
                  </a:pPr>
                  <a:endParaRPr lang="zh-CN"/>
                </a:p>
              </c:txPr>
              <c:tx>
                <c:rich>
                  <a:bodyPr vert="horz"/>
                  <a:lstStyle/>
                  <a:p>
                    <a:pPr>
                      <a:defRPr sz="900" b="0" i="0" u="none" strike="noStrike" baseline="0">
                        <a:solidFill>
                          <a:srgbClr val="404040"/>
                        </a:solidFill>
                        <a:latin typeface="方正兰亭黑_GBK"/>
                        <a:ea typeface="方正兰亭黑_GBK"/>
                        <a:cs typeface="Lucida Sans"/>
                      </a:defRPr>
                    </a:pPr>
                    <a:r>
                      <a:rPr lang="zh-CN" sz="900" b="0" i="0" u="none" strike="noStrike" baseline="0">
                        <a:solidFill>
                          <a:srgbClr val="404040"/>
                        </a:solidFill>
                        <a:latin typeface="方正兰亭黑_GBK"/>
                        <a:ea typeface="方正兰亭黑_GBK"/>
                        <a:cs typeface="Lucida Sans"/>
                      </a:rPr>
                      <a:t>项目支出</a:t>
                    </a:r>
                    <a:r>
                      <a:rPr lang="zh-CN" sz="900" b="0" i="0" u="none" strike="noStrike" baseline="0">
                        <a:solidFill>
                          <a:srgbClr val="404040"/>
                        </a:solidFill>
                        <a:latin typeface="方正兰亭黑_GBK"/>
                        <a:ea typeface="方正兰亭黑_GBK"/>
                        <a:cs typeface="Lucida Sans"/>
                      </a:rPr>
                      <a:t>3.43%</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'Sheet1 (3)'!$A$2:$A$3</c:f>
              <c:strCache>
                <c:ptCount val="2"/>
                <c:pt idx="0">
                  <c:v>基本支出</c:v>
                </c:pt>
                <c:pt idx="1">
                  <c:v>项目支出</c:v>
                </c:pt>
              </c:strCache>
            </c:strRef>
          </c:cat>
          <c:val>
            <c:numRef>
              <c:f>'Sheet1 (3)'!$B$2:$B$3</c:f>
              <c:numCache>
                <c:formatCode>0.00%</c:formatCode>
                <c:ptCount val="2"/>
                <c:pt idx="0">
                  <c:v>0.9657</c:v>
                </c:pt>
                <c:pt idx="1">
                  <c:v>0.0343</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方正兰亭黑_GBK"/>
              <a:ea typeface="方正兰亭黑_GBK"/>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027595"/>
          <c:y val="0.060268365"/>
          <c:w val="0.88623273"/>
          <c:h val="0.8399818"/>
        </c:manualLayout>
      </c:layout>
      <c:barChart>
        <c:barDir val="col"/>
        <c:grouping val="clustered"/>
        <c:varyColors val="0"/>
        <c:ser>
          <c:idx val="0"/>
          <c:order val="0"/>
          <c:spPr>
            <a:solidFill>
              <a:srgbClr val="4F81BD"/>
            </a:solidFill>
            <a:ln>
              <a:noFill/>
            </a:ln>
          </c:spPr>
          <c:invertIfNegative val="0"/>
          <c:dLbls>
            <c:spPr>
              <a:noFill/>
              <a:ln>
                <a:noFill/>
              </a:ln>
            </c:spPr>
            <c:txPr>
              <a:bodyPr vert="horz"/>
              <a:lstStyle/>
              <a:p>
                <a:pPr>
                  <a:defRPr sz="900" b="0" i="0" u="none" strike="noStrike" baseline="0">
                    <a:solidFill>
                      <a:srgbClr val="404040"/>
                    </a:solidFill>
                    <a:latin typeface="方正兰亭黑_GBK"/>
                    <a:ea typeface="方正兰亭黑_GBK"/>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(4)'!$A$1:$A$3</c:f>
              <c:strCache>
                <c:ptCount val="3"/>
                <c:pt idx="0">
                  <c:v> </c:v>
                </c:pt>
                <c:pt idx="1">
                  <c:v>2022年</c:v>
                </c:pt>
                <c:pt idx="2">
                  <c:v>2021年</c:v>
                </c:pt>
              </c:strCache>
            </c:strRef>
          </c:cat>
          <c:val>
            <c:numRef>
              <c:f>'Sheet1 (4)'!$B$1:$B$3</c:f>
              <c:numCache>
                <c:formatCode>General</c:formatCode>
                <c:ptCount val="3"/>
                <c:pt idx="1">
                  <c:v>583.69</c:v>
                </c:pt>
                <c:pt idx="2">
                  <c:v>612.6</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方正兰亭黑_GBK"/>
                <a:ea typeface="方正兰亭黑_GBK"/>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方正兰亭黑_GBK"/>
                <a:ea typeface="方正兰亭黑_GBK"/>
                <a:cs typeface="Lucida Sans"/>
              </a:defRPr>
            </a:pPr>
            <a:endParaRPr lang="zh-CN"/>
          </a:p>
        </c:txPr>
        <c:crossesAt val="1.0"/>
        <c:crossBetween val="between"/>
        <c:crossAx val="0"/>
      </c:valAx>
      <c:spPr>
        <a:noFill/>
        <a:ln>
          <a:noFill/>
        </a:ln>
      </c:spPr>
    </c:plotArea>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 (5)'!$B$1</c:f>
              <c:strCache>
                <c:ptCount val="1"/>
                <c:pt idx="0">
                  <c:v>系列 1</c:v>
                </c:pt>
              </c:strCache>
            </c:strRef>
          </c:tx>
          <c:spPr>
            <a:solidFill>
              <a:srgbClr val="4F81BD"/>
            </a:solidFill>
            <a:ln>
              <a:noFill/>
            </a:ln>
          </c:spPr>
          <c:invertIfNegative val="0"/>
          <c:dLbls>
            <c:spPr>
              <a:noFill/>
              <a:ln>
                <a:noFill/>
              </a:ln>
            </c:spPr>
            <c:txPr>
              <a:bodyPr vert="horz"/>
              <a:lstStyle/>
              <a:p>
                <a:pPr>
                  <a:defRPr sz="900" b="0" i="0" u="none" strike="noStrike" baseline="0">
                    <a:solidFill>
                      <a:srgbClr val="404040"/>
                    </a:solidFill>
                    <a:latin typeface="方正兰亭黑_GBK"/>
                    <a:ea typeface="方正兰亭黑_GBK"/>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(5)'!$A$2:$A$3</c:f>
              <c:strCache>
                <c:ptCount val="2"/>
                <c:pt idx="0">
                  <c:v>2022年</c:v>
                </c:pt>
                <c:pt idx="1">
                  <c:v>2021年</c:v>
                </c:pt>
              </c:strCache>
            </c:strRef>
          </c:cat>
          <c:val>
            <c:numRef>
              <c:f>'Sheet1 (5)'!$B$2:$B$3</c:f>
              <c:numCache>
                <c:formatCode>General</c:formatCode>
                <c:ptCount val="2"/>
                <c:pt idx="0">
                  <c:v>583.69</c:v>
                </c:pt>
                <c:pt idx="1">
                  <c:v>612.6</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方正兰亭黑_GBK"/>
                <a:ea typeface="方正兰亭黑_GBK"/>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方正兰亭黑_GBK"/>
                <a:ea typeface="方正兰亭黑_GBK"/>
                <a:cs typeface="Lucida Sans"/>
              </a:defRPr>
            </a:pPr>
            <a:endParaRPr lang="zh-CN"/>
          </a:p>
        </c:txPr>
        <c:crossesAt val="1.0"/>
        <c:crossBetween val="between"/>
        <c:crossAx val="0"/>
      </c:valAx>
      <c:spPr>
        <a:noFill/>
        <a:ln>
          <a:noFill/>
        </a:ln>
      </c:spPr>
    </c:plotArea>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 (6)'!$B$1</c:f>
              <c:strCache>
                <c:ptCount val="1"/>
                <c:pt idx="0">
                  <c:v>销售额</c:v>
                </c:pt>
              </c:strCache>
            </c:strRef>
          </c:tx>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Lbls>
            <c:spPr>
              <a:noFill/>
              <a:ln>
                <a:noFill/>
              </a:ln>
            </c:spPr>
            <c:txPr>
              <a:bodyPr vert="horz"/>
              <a:lstStyle/>
              <a:p>
                <a:pPr>
                  <a:defRPr sz="900" b="0" i="0" u="none" strike="noStrike" baseline="0">
                    <a:solidFill>
                      <a:srgbClr val="404040"/>
                    </a:solidFill>
                    <a:latin typeface="方正兰亭黑_GBK"/>
                    <a:ea typeface="方正兰亭黑_GBK"/>
                    <a:cs typeface="Lucida Sans"/>
                  </a:defRPr>
                </a:pPr>
                <a:endParaRPr lang="zh-CN"/>
              </a:p>
            </c:txPr>
            <c:numFmt formatCode="General" sourceLinked="1"/>
            <c:dLbl>
              <c:idx val="0"/>
              <c:spPr>
                <a:noFill/>
                <a:ln>
                  <a:noFill/>
                </a:ln>
              </c:spPr>
              <c:txPr>
                <a:bodyPr vert="horz"/>
                <a:lstStyle/>
                <a:p>
                  <a:pPr>
                    <a:defRPr sz="900" b="0" i="0" u="none" strike="noStrike" baseline="0">
                      <a:solidFill>
                        <a:srgbClr val="404040"/>
                      </a:solidFill>
                      <a:latin typeface="方正兰亭黑_GBK"/>
                      <a:ea typeface="方正兰亭黑_GBK"/>
                      <a:cs typeface="Lucida Sans"/>
                    </a:defRPr>
                  </a:pPr>
                  <a:endParaRPr lang="zh-CN"/>
                </a:p>
              </c:txPr>
              <c:tx>
                <c:rich>
                  <a:bodyPr vert="horz"/>
                  <a:lstStyle/>
                  <a:p>
                    <a:pPr>
                      <a:defRPr sz="900" b="0" i="0" u="none" strike="noStrike" baseline="0">
                        <a:solidFill>
                          <a:srgbClr val="404040"/>
                        </a:solidFill>
                        <a:latin typeface="方正兰亭黑_GBK"/>
                        <a:ea typeface="方正兰亭黑_GBK"/>
                        <a:cs typeface="Lucida Sans"/>
                      </a:defRPr>
                    </a:pPr>
                    <a:r>
                      <a:rPr lang="zh-CN" sz="900" b="0" i="0" u="none" strike="noStrike" baseline="0">
                        <a:solidFill>
                          <a:srgbClr val="404040"/>
                        </a:solidFill>
                        <a:latin typeface="方正兰亭黑_GBK"/>
                        <a:ea typeface="方正兰亭黑_GBK"/>
                        <a:cs typeface="Lucida Sans"/>
                      </a:rPr>
                      <a:t>一般公共服务支出占</a:t>
                    </a:r>
                    <a:r>
                      <a:rPr lang="zh-CN" sz="900" b="0" i="0" u="none" strike="noStrike" baseline="0">
                        <a:solidFill>
                          <a:srgbClr val="404040"/>
                        </a:solidFill>
                        <a:latin typeface="方正兰亭黑_GBK"/>
                        <a:ea typeface="方正兰亭黑_GBK"/>
                        <a:cs typeface="Lucida Sans"/>
                      </a:rPr>
                      <a:t>72.73%</a:t>
                    </a:r>
                  </a:p>
                </c:rich>
              </c:tx>
              <c:showLegendKey val="0"/>
              <c:showVal val="1"/>
              <c:showCatName val="0"/>
              <c:showSerName val="0"/>
              <c:showPercent val="0"/>
              <c:showBubbleSize val="0"/>
            </c:dLbl>
            <c:dLbl>
              <c:idx val="1"/>
              <c:spPr>
                <a:noFill/>
                <a:ln>
                  <a:noFill/>
                </a:ln>
              </c:spPr>
              <c:txPr>
                <a:bodyPr vert="horz"/>
                <a:lstStyle/>
                <a:p>
                  <a:pPr>
                    <a:defRPr sz="900" b="0" i="0" u="none" strike="noStrike" baseline="0">
                      <a:solidFill>
                        <a:srgbClr val="404040"/>
                      </a:solidFill>
                      <a:latin typeface="方正兰亭黑_GBK"/>
                      <a:ea typeface="方正兰亭黑_GBK"/>
                      <a:cs typeface="Lucida Sans"/>
                    </a:defRPr>
                  </a:pPr>
                  <a:endParaRPr lang="zh-CN"/>
                </a:p>
              </c:txPr>
              <c:tx>
                <c:rich>
                  <a:bodyPr vert="horz"/>
                  <a:lstStyle/>
                  <a:p>
                    <a:pPr>
                      <a:defRPr sz="900" b="0" i="0" u="none" strike="noStrike" baseline="0">
                        <a:solidFill>
                          <a:srgbClr val="404040"/>
                        </a:solidFill>
                        <a:latin typeface="方正兰亭黑_GBK"/>
                        <a:ea typeface="方正兰亭黑_GBK"/>
                        <a:cs typeface="Lucida Sans"/>
                      </a:defRPr>
                    </a:pPr>
                    <a:r>
                      <a:rPr lang="zh-CN" sz="900" b="0" i="0" u="none" strike="noStrike" baseline="0">
                        <a:solidFill>
                          <a:srgbClr val="404040"/>
                        </a:solidFill>
                        <a:latin typeface="方正兰亭黑_GBK"/>
                        <a:ea typeface="方正兰亭黑_GBK"/>
                        <a:cs typeface="Lucida Sans"/>
                      </a:rPr>
                      <a:t>社会保障和就业支出占</a:t>
                    </a:r>
                    <a:r>
                      <a:rPr lang="zh-CN" sz="900" b="0" i="0" u="none" strike="noStrike" baseline="0">
                        <a:solidFill>
                          <a:srgbClr val="404040"/>
                        </a:solidFill>
                        <a:latin typeface="方正兰亭黑_GBK"/>
                        <a:ea typeface="方正兰亭黑_GBK"/>
                        <a:cs typeface="Lucida Sans"/>
                      </a:rPr>
                      <a:t>20.19%</a:t>
                    </a:r>
                  </a:p>
                </c:rich>
              </c:tx>
              <c:showLegendKey val="0"/>
              <c:showVal val="1"/>
              <c:showCatName val="0"/>
              <c:showSerName val="0"/>
              <c:showPercent val="0"/>
              <c:showBubbleSize val="0"/>
            </c:dLbl>
            <c:dLbl>
              <c:idx val="2"/>
              <c:layout>
                <c:manualLayout>
                  <c:x val="0.049217243"/>
                  <c:y val="0.1387242"/>
                </c:manualLayout>
              </c:layout>
              <c:spPr>
                <a:noFill/>
                <a:ln>
                  <a:noFill/>
                </a:ln>
              </c:spPr>
              <c:txPr>
                <a:bodyPr vert="horz"/>
                <a:lstStyle/>
                <a:p>
                  <a:pPr>
                    <a:defRPr sz="900" b="0" i="0" u="none" strike="noStrike" baseline="0">
                      <a:solidFill>
                        <a:srgbClr val="404040"/>
                      </a:solidFill>
                      <a:latin typeface="方正兰亭黑_GBK"/>
                      <a:ea typeface="方正兰亭黑_GBK"/>
                      <a:cs typeface="Lucida Sans"/>
                    </a:defRPr>
                  </a:pPr>
                  <a:endParaRPr lang="zh-CN"/>
                </a:p>
              </c:txPr>
              <c:tx>
                <c:rich>
                  <a:bodyPr vert="horz"/>
                  <a:lstStyle/>
                  <a:p>
                    <a:pPr>
                      <a:defRPr sz="900" b="0" i="0" u="none" strike="noStrike" baseline="0">
                        <a:solidFill>
                          <a:srgbClr val="404040"/>
                        </a:solidFill>
                        <a:latin typeface="方正兰亭黑_GBK"/>
                        <a:ea typeface="方正兰亭黑_GBK"/>
                        <a:cs typeface="Lucida Sans"/>
                      </a:defRPr>
                    </a:pPr>
                    <a:r>
                      <a:rPr lang="zh-CN" sz="900" b="0" i="0" u="none" strike="noStrike" baseline="0">
                        <a:solidFill>
                          <a:srgbClr val="404040"/>
                        </a:solidFill>
                        <a:latin typeface="方正兰亭黑_GBK"/>
                        <a:ea typeface="方正兰亭黑_GBK"/>
                        <a:cs typeface="Lucida Sans"/>
                      </a:rPr>
                      <a:t>住房保障支出占</a:t>
                    </a:r>
                    <a:r>
                      <a:rPr lang="zh-CN" sz="900" b="0" i="0" u="none" strike="noStrike" baseline="0">
                        <a:solidFill>
                          <a:srgbClr val="404040"/>
                        </a:solidFill>
                        <a:latin typeface="方正兰亭黑_GBK"/>
                        <a:ea typeface="方正兰亭黑_GBK"/>
                        <a:cs typeface="Lucida Sans"/>
                      </a:rPr>
                      <a:t>7.08%</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'Sheet1 (6)'!$A$2:$A$4</c:f>
              <c:strCache>
                <c:ptCount val="3"/>
                <c:pt idx="0">
                  <c:v>一般公共服务支出</c:v>
                </c:pt>
                <c:pt idx="1">
                  <c:v>社会保障和就业支出</c:v>
                </c:pt>
                <c:pt idx="2">
                  <c:v>住房保障支出</c:v>
                </c:pt>
              </c:strCache>
            </c:strRef>
          </c:cat>
          <c:val>
            <c:numRef>
              <c:f>'Sheet1 (6)'!$B$2:$B$4</c:f>
              <c:numCache>
                <c:formatCode>General</c:formatCode>
                <c:ptCount val="3"/>
                <c:pt idx="0">
                  <c:v>424.54</c:v>
                </c:pt>
                <c:pt idx="1">
                  <c:v>117.82</c:v>
                </c:pt>
                <c:pt idx="2">
                  <c:v>41.33</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方正兰亭黑_GBK"/>
              <a:ea typeface="方正兰亭黑_GBK"/>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 (7)'!$B$1</c:f>
              <c:strCache>
                <c:ptCount val="1"/>
                <c:pt idx="0">
                  <c:v>销售额</c:v>
                </c:pt>
              </c:strCache>
            </c:strRef>
          </c:tx>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Lbls>
            <c:spPr>
              <a:noFill/>
              <a:ln>
                <a:noFill/>
              </a:ln>
            </c:spPr>
            <c:txPr>
              <a:bodyPr vert="horz"/>
              <a:lstStyle/>
              <a:p>
                <a:pPr>
                  <a:defRPr sz="900" b="0" i="0" u="none" strike="noStrike" baseline="0">
                    <a:solidFill>
                      <a:srgbClr val="404040"/>
                    </a:solidFill>
                    <a:latin typeface="方正兰亭黑_GBK"/>
                    <a:ea typeface="方正兰亭黑_GBK"/>
                    <a:cs typeface="Lucida Sans"/>
                  </a:defRPr>
                </a:pPr>
                <a:endParaRPr lang="zh-CN"/>
              </a:p>
            </c:txPr>
            <c:numFmt formatCode="General" sourceLinked="1"/>
            <c:dLbl>
              <c:idx val="0"/>
              <c:layout>
                <c:manualLayout>
                  <c:x val="-0.13408273"/>
                  <c:y val="-0.18126841"/>
                </c:manualLayout>
              </c:layout>
              <c:spPr>
                <a:noFill/>
                <a:ln>
                  <a:noFill/>
                </a:ln>
              </c:spPr>
              <c:txPr>
                <a:bodyPr vert="horz"/>
                <a:lstStyle/>
                <a:p>
                  <a:pPr>
                    <a:defRPr sz="900" b="0" i="0" u="none" strike="noStrike" baseline="0">
                      <a:solidFill>
                        <a:srgbClr val="404040"/>
                      </a:solidFill>
                      <a:latin typeface="方正兰亭黑_GBK"/>
                      <a:ea typeface="方正兰亭黑_GBK"/>
                      <a:cs typeface="Lucida Sans"/>
                    </a:defRPr>
                  </a:pPr>
                  <a:endParaRPr lang="zh-CN"/>
                </a:p>
              </c:txPr>
              <c:tx>
                <c:rich>
                  <a:bodyPr vert="horz"/>
                  <a:lstStyle/>
                  <a:p>
                    <a:pPr>
                      <a:defRPr sz="900" b="0" i="0" u="none" strike="noStrike" baseline="0">
                        <a:solidFill>
                          <a:srgbClr val="404040"/>
                        </a:solidFill>
                        <a:latin typeface="方正兰亭黑_GBK"/>
                        <a:ea typeface="方正兰亭黑_GBK"/>
                        <a:cs typeface="Lucida Sans"/>
                      </a:defRPr>
                    </a:pPr>
                    <a:r>
                      <a:rPr lang="zh-CN" sz="900" b="0" i="0" u="none" strike="noStrike" baseline="0">
                        <a:solidFill>
                          <a:srgbClr val="404040"/>
                        </a:solidFill>
                        <a:latin typeface="方正兰亭黑_GBK"/>
                        <a:ea typeface="方正兰亭黑_GBK"/>
                        <a:cs typeface="Lucida Sans"/>
                      </a:rPr>
                      <a:t>公务用车购置及运行维护费</a:t>
                    </a:r>
                    <a:r>
                      <a:rPr lang="zh-CN" sz="900" b="0" i="0" u="none" strike="noStrike" baseline="0">
                        <a:solidFill>
                          <a:srgbClr val="404040"/>
                        </a:solidFill>
                        <a:latin typeface="方正兰亭黑_GBK"/>
                        <a:ea typeface="方正兰亭黑_GBK"/>
                        <a:cs typeface="Lucida Sans"/>
                      </a:rPr>
                      <a:t>83.76%</a:t>
                    </a:r>
                  </a:p>
                </c:rich>
              </c:tx>
              <c:showLegendKey val="0"/>
              <c:showVal val="1"/>
              <c:showCatName val="0"/>
              <c:showSerName val="0"/>
              <c:showPercent val="0"/>
              <c:showBubbleSize val="0"/>
            </c:dLbl>
            <c:dLbl>
              <c:idx val="1"/>
              <c:layout>
                <c:manualLayout>
                  <c:x val="0.004278544"/>
                  <c:y val="0.111947745"/>
                </c:manualLayout>
              </c:layout>
              <c:spPr>
                <a:noFill/>
                <a:ln>
                  <a:noFill/>
                </a:ln>
              </c:spPr>
              <c:txPr>
                <a:bodyPr vert="horz"/>
                <a:lstStyle/>
                <a:p>
                  <a:pPr>
                    <a:defRPr sz="900" b="0" i="0" u="none" strike="noStrike" baseline="0">
                      <a:solidFill>
                        <a:srgbClr val="404040"/>
                      </a:solidFill>
                      <a:latin typeface="方正兰亭黑_GBK"/>
                      <a:ea typeface="方正兰亭黑_GBK"/>
                      <a:cs typeface="Lucida Sans"/>
                    </a:defRPr>
                  </a:pPr>
                  <a:endParaRPr lang="zh-CN"/>
                </a:p>
              </c:txPr>
              <c:tx>
                <c:rich>
                  <a:bodyPr vert="horz"/>
                  <a:lstStyle/>
                  <a:p>
                    <a:pPr>
                      <a:defRPr sz="900" b="0" i="0" u="none" strike="noStrike" baseline="0">
                        <a:solidFill>
                          <a:srgbClr val="404040"/>
                        </a:solidFill>
                        <a:latin typeface="方正兰亭黑_GBK"/>
                        <a:ea typeface="方正兰亭黑_GBK"/>
                        <a:cs typeface="Lucida Sans"/>
                      </a:defRPr>
                    </a:pPr>
                    <a:r>
                      <a:rPr lang="zh-CN" sz="900" b="0" i="0" u="none" strike="noStrike" baseline="0">
                        <a:solidFill>
                          <a:srgbClr val="404040"/>
                        </a:solidFill>
                        <a:latin typeface="方正兰亭黑_GBK"/>
                        <a:ea typeface="方正兰亭黑_GBK"/>
                        <a:cs typeface="Lucida Sans"/>
                      </a:rPr>
                      <a:t>公务接待费</a:t>
                    </a:r>
                    <a:r>
                      <a:rPr lang="zh-CN" sz="900" b="0" i="0" u="none" strike="noStrike" baseline="0">
                        <a:solidFill>
                          <a:srgbClr val="404040"/>
                        </a:solidFill>
                        <a:latin typeface="方正兰亭黑_GBK"/>
                        <a:ea typeface="方正兰亭黑_GBK"/>
                        <a:cs typeface="Lucida Sans"/>
                      </a:rPr>
                      <a:t>16.24%</a:t>
                    </a:r>
                  </a:p>
                </c:rich>
              </c:tx>
              <c:showLegendKey val="0"/>
              <c:showVal val="1"/>
              <c:showCatName val="0"/>
              <c:showSerName val="0"/>
              <c:showPercent val="0"/>
              <c:showBubbleSize val="0"/>
            </c:dLbl>
            <c:dLbl>
              <c:idx val="2"/>
              <c:layout>
                <c:manualLayout>
                  <c:x val="0.025524186"/>
                  <c:y val="0.11880623"/>
                </c:manualLayout>
              </c:layout>
              <c:spPr>
                <a:noFill/>
                <a:ln>
                  <a:noFill/>
                </a:ln>
              </c:spPr>
              <c:txPr>
                <a:bodyPr vert="horz"/>
                <a:lstStyle/>
                <a:p>
                  <a:pPr>
                    <a:defRPr sz="900" b="0" i="0" u="none" strike="noStrike" baseline="0">
                      <a:solidFill>
                        <a:srgbClr val="404040"/>
                      </a:solidFill>
                      <a:latin typeface="方正兰亭黑_GBK"/>
                      <a:ea typeface="方正兰亭黑_GBK"/>
                      <a:cs typeface="Lucida Sans"/>
                    </a:defRPr>
                  </a:pPr>
                  <a:endParaRPr lang="zh-CN"/>
                </a:p>
              </c:txPr>
              <c:tx>
                <c:rich>
                  <a:bodyPr vert="horz"/>
                  <a:lstStyle/>
                  <a:p>
                    <a:pPr>
                      <a:defRPr sz="900" b="0" i="0" u="none" strike="noStrike" baseline="0">
                        <a:solidFill>
                          <a:srgbClr val="404040"/>
                        </a:solidFill>
                        <a:latin typeface="方正兰亭黑_GBK"/>
                        <a:ea typeface="方正兰亭黑_GBK"/>
                        <a:cs typeface="Lucida Sans"/>
                      </a:defRPr>
                    </a:pPr>
                    <a:r>
                      <a:rPr lang="zh-CN" sz="900" b="0" i="0" u="none" strike="noStrike" baseline="0">
                        <a:solidFill>
                          <a:srgbClr val="404040"/>
                        </a:solidFill>
                        <a:latin typeface="方正兰亭黑_GBK"/>
                        <a:ea typeface="方正兰亭黑_GBK"/>
                        <a:cs typeface="Lucida Sans"/>
                      </a:rPr>
                      <a:t>因公出国（境）费</a:t>
                    </a:r>
                    <a:r>
                      <a:rPr lang="zh-CN" sz="900" b="0" i="0" u="none" strike="noStrike" baseline="0">
                        <a:solidFill>
                          <a:srgbClr val="404040"/>
                        </a:solidFill>
                        <a:latin typeface="方正兰亭黑_GBK"/>
                        <a:ea typeface="方正兰亭黑_GBK"/>
                        <a:cs typeface="Lucida Sans"/>
                      </a:rPr>
                      <a:t>0%</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'Sheet1 (7)'!$A$2:$A$4</c:f>
              <c:strCache>
                <c:ptCount val="3"/>
                <c:pt idx="0">
                  <c:v>公务用车购置及运行维护费</c:v>
                </c:pt>
                <c:pt idx="1">
                  <c:v>公务接待费</c:v>
                </c:pt>
                <c:pt idx="2">
                  <c:v>因公出国（境）费</c:v>
                </c:pt>
              </c:strCache>
            </c:strRef>
          </c:cat>
          <c:val>
            <c:numRef>
              <c:f>'Sheet1 (7)'!$B$2:$B$4</c:f>
              <c:numCache>
                <c:formatCode>General</c:formatCode>
                <c:ptCount val="3"/>
                <c:pt idx="0">
                  <c:v>0.98</c:v>
                </c:pt>
                <c:pt idx="1">
                  <c:v>0.19</c:v>
                </c:pt>
                <c:pt idx="2">
                  <c:v>0.0</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方正兰亭黑_GBK"/>
              <a:ea typeface="方正兰亭黑_GBK"/>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C116BF70-AB5B-4407-808B-4A0505B200F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45</TotalTime>
  <Application>Yozo_Office27021597764231179</Application>
  <Pages>29</Pages>
  <Words>0</Words>
  <Characters>13550</Characters>
  <Lines>0</Lines>
  <Paragraphs>375</Paragraphs>
  <CharactersWithSpaces>18067</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46</cp:revision>
  <cp:lastPrinted>2023-07-31T18:35:00Z</cp:lastPrinted>
  <dcterms:created xsi:type="dcterms:W3CDTF">2020-08-05T17:49:00Z</dcterms:created>
  <dcterms:modified xsi:type="dcterms:W3CDTF">2023-09-13T03:10:14Z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2052-11.1.0.10314</vt:lpwstr>
  </property>
</Properties>
</file>